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88" w:lineRule="auto"/>
        <w:jc w:val="left"/>
      </w:pPr>
      <w:r>
        <w:rPr>
          <w:rFonts w:ascii="Times New Roman" w:hAnsi="Times New Roman" w:eastAsia="宋体"/>
          <w:b/>
          <w:sz w:val="21"/>
        </w:rPr>
        <w:t>人教B版选必1（上）·册目录页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/>
          <w:b/>
          <w:sz w:val="21"/>
        </w:rPr>
        <w:t>装订顺序（照此配页；各件独立打印、A4双面长边翻转；页码全册连续（封面与册目录页不计页，全册共136页））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件（装订顺序）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页脚件标识</w:t>
            </w:r>
          </w:p>
        </w:tc>
      </w:tr>
      <w:tr>
        <w:tc>
          <w:tcPr>
            <w:tcW w:type="dxa" w:w="3513"/>
          </w:tcPr>
          <w:p>
            <w:pPr>
              <w:spacing w:line="288" w:lineRule="auto" w:before="0"/>
            </w:pPr>
            <w:r>
              <w:t xml:space="preserve">1</w:t>
            </w:r>
          </w:p>
        </w:tc>
        <w:tc>
          <w:tcPr>
            <w:tcW w:type="dxa" w:w="3513"/>
          </w:tcPr>
          <w:p>
            <w:pPr>
              <w:spacing w:line="288" w:lineRule="auto" w:befor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封面（上）（本页前一件，不设页码）</w:t>
            </w:r>
          </w:p>
        </w:tc>
        <w:tc>
          <w:tcPr>
            <w:tcW w:type="dxa" w:w="3513"/>
          </w:tcPr>
          <w:p>
            <w:pPr>
              <w:spacing w:line="288" w:lineRule="auto" w:befor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3513"/>
          </w:tcPr>
          <w:p>
            <w:pPr>
              <w:spacing w:line="288" w:lineRule="auto" w:before="0"/>
            </w:pPr>
            <w:r>
              <w:t xml:space="preserve">2</w:t>
            </w:r>
          </w:p>
        </w:tc>
        <w:tc>
          <w:tcPr>
            <w:tcW w:type="dxa" w:w="3513"/>
          </w:tcPr>
          <w:p>
            <w:pPr>
              <w:spacing w:line="288" w:lineRule="auto" w:befor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册目录页（上）（本件，不设页码）</w:t>
            </w:r>
          </w:p>
        </w:tc>
        <w:tc>
          <w:tcPr>
            <w:tcW w:type="dxa" w:w="3513"/>
          </w:tcPr>
          <w:p>
            <w:pPr>
              <w:spacing w:line="288" w:lineRule="auto" w:befor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3513"/>
          </w:tcPr>
          <w:p>
            <w:pPr>
              <w:spacing w:line="288" w:lineRule="auto" w:before="0"/>
            </w:pPr>
            <w:r>
              <w:t xml:space="preserve">3</w:t>
            </w:r>
          </w:p>
        </w:tc>
        <w:tc>
          <w:tcPr>
            <w:tcW w:type="dxa" w:w="3513"/>
          </w:tcPr>
          <w:p>
            <w:pPr>
              <w:spacing w:line="288" w:lineRule="auto" w:befor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第1章 空间向量与立体几何｜衔接件（29题）</w:t>
            </w:r>
          </w:p>
        </w:tc>
        <w:tc>
          <w:tcPr>
            <w:tcW w:type="dxa" w:w="3513"/>
          </w:tcPr>
          <w:p>
            <w:pPr>
              <w:spacing w:line="288" w:lineRule="auto" w:befor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第1章·衔接</w:t>
            </w:r>
          </w:p>
        </w:tc>
      </w:tr>
      <w:tr>
        <w:tc>
          <w:tcPr>
            <w:tcW w:type="dxa" w:w="3513"/>
          </w:tcPr>
          <w:p>
            <w:pPr>
              <w:spacing w:line="288" w:lineRule="auto" w:before="0"/>
            </w:pPr>
            <w:r>
              <w:t xml:space="preserve">4</w:t>
            </w:r>
          </w:p>
        </w:tc>
        <w:tc>
          <w:tcPr>
            <w:tcW w:type="dxa" w:w="3513"/>
          </w:tcPr>
          <w:p>
            <w:pPr>
              <w:spacing w:line="288" w:lineRule="auto" w:befor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第1章 空间向量与立体几何｜知识清单（完成）</w:t>
            </w:r>
          </w:p>
        </w:tc>
        <w:tc>
          <w:tcPr>
            <w:tcW w:type="dxa" w:w="3513"/>
          </w:tcPr>
          <w:p>
            <w:pPr>
              <w:spacing w:line="288" w:lineRule="auto" w:befor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第1章·清单</w:t>
            </w:r>
          </w:p>
        </w:tc>
      </w:tr>
      <w:tr>
        <w:tc>
          <w:tcPr>
            <w:tcW w:type="dxa" w:w="3513"/>
          </w:tcPr>
          <w:p>
            <w:pPr>
              <w:spacing w:line="288" w:lineRule="auto" w:before="0"/>
            </w:pPr>
            <w:r>
              <w:t xml:space="preserve">5</w:t>
            </w:r>
          </w:p>
        </w:tc>
        <w:tc>
          <w:tcPr>
            <w:tcW w:type="dxa" w:w="3513"/>
          </w:tcPr>
          <w:p>
            <w:pPr>
              <w:spacing w:line="288" w:lineRule="auto" w:before="0"/>
            </w:pPr>
            <w:r>
              <w:t xml:space="preserve">第1章 空间向量与立体几何｜讲练件（上）（61题）</w:t>
            </w:r>
          </w:p>
        </w:tc>
        <w:tc>
          <w:tcPr>
            <w:tcW w:type="dxa" w:w="3513"/>
          </w:tcPr>
          <w:p>
            <w:pPr>
              <w:spacing w:line="288" w:lineRule="auto" w:before="0"/>
            </w:pPr>
            <w:r>
              <w:t xml:space="preserve">第1章·讲练</w:t>
            </w:r>
          </w:p>
        </w:tc>
      </w:tr>
      <w:tr>
        <w:tc>
          <w:tcPr>
            <w:tcW w:type="dxa" w:w="3513"/>
          </w:tcPr>
          <w:p>
            <w:pPr>
              <w:spacing w:line="288" w:lineRule="auto" w:before="0"/>
            </w:pPr>
            <w:r>
              <w:t xml:space="preserve">6</w:t>
            </w:r>
          </w:p>
        </w:tc>
        <w:tc>
          <w:tcPr>
            <w:tcW w:type="dxa" w:w="3513"/>
          </w:tcPr>
          <w:p>
            <w:pPr>
              <w:spacing w:line="288" w:lineRule="auto" w:before="0"/>
            </w:pPr>
            <w:r>
              <w:t xml:space="preserve">第1章 空间向量与立体几何｜讲练件（下）（79题）</w:t>
            </w:r>
          </w:p>
        </w:tc>
        <w:tc>
          <w:tcPr>
            <w:tcW w:type="dxa" w:w="3513"/>
          </w:tcPr>
          <w:p>
            <w:pPr>
              <w:spacing w:line="288" w:lineRule="auto" w:before="0"/>
            </w:pPr>
            <w:r>
              <w:t xml:space="preserve">第1章·讲练</w:t>
            </w:r>
          </w:p>
        </w:tc>
      </w:tr>
      <w:tr>
        <w:tc>
          <w:tcPr>
            <w:tcW w:type="dxa" w:w="3513"/>
          </w:tcPr>
          <w:p>
            <w:pPr>
              <w:spacing w:line="288" w:lineRule="auto" w:before="0"/>
            </w:pPr>
            <w:r>
              <w:t xml:space="preserve"/>
            </w:r>
          </w:p>
        </w:tc>
        <w:tc>
          <w:tcPr>
            <w:tcW w:type="dxa" w:w="3513"/>
          </w:tcPr>
          <w:p>
            <w:pPr>
              <w:spacing w:line="288" w:lineRule="auto" w:before="0"/>
            </w:pPr>
            <w:r>
              <w:t xml:space="preserve">章级汇总：第1章 空间向量与立体几何｜140题｜简单21／中档104／难15｜讲练件上下两卷（题号1—140跨卷连续，页码全册连续）</w:t>
            </w:r>
          </w:p>
        </w:tc>
        <w:tc>
          <w:tcPr>
            <w:tcW w:type="dxa" w:w="3513"/>
          </w:tcPr>
          <w:p>
            <w:pPr>
              <w:spacing w:line="288" w:lineRule="auto" w:before="0"/>
            </w:pPr>
            <w:r>
              <w:t xml:space="preserve"/>
            </w:r>
          </w:p>
        </w:tc>
      </w:tr>
    </w:tbl>
    <w:p>
      <w:pPr>
        <w:spacing w:before="0" w:after="0" w:line="288" w:lineRule="auto"/>
        <w:jc w:val="left"/>
      </w:pPr>
    </w:p>
    <w:p>
      <w:pPr>
        <w:spacing w:before="0" w:after="0" w:line="288" w:lineRule="auto"/>
        <w:jc w:val="left"/>
      </w:pPr>
      <w:r>
        <w:rPr>
          <w:rFonts w:ascii="Times New Roman" w:hAnsi="Times New Roman" w:eastAsia="宋体"/>
          <w:b w:val="0"/>
          <w:sz w:val="21"/>
        </w:rPr>
        <w:t>注：第1章无实验卷（数学科不设）。各件页边距均为1.5厘米、页脚左对齐「件标识＋第X页（全册共Y页）·本部第A–B页（共N页）」（封面与册目录页除外）。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/>
          <w:b w:val="0"/>
          <w:sz w:val="21"/>
        </w:rPr>
        <w:t>删除台账、转投暂存、过程对账为工作文件，不参与装订。</w:t>
      </w:r>
    </w:p>
    <w:p>
      <w:r>
        <w:rPr>
          <w:rFonts w:ascii="宋体" w:hAnsi="宋体"/>
          <w:sz w:val="21"/>
        </w:rPr>
        <w:t>注：本册为上册（第1章）；第2章（知识清单＋讲练件339题）另册装订，见「人教B版选必1（下）·册目录页」。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288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人教B版选必1·册目录页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