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288" w:lineRule="auto" w:before="0" w:after="0"/>
        <w:jc w:val="left"/>
      </w:pPr>
      <w:r>
        <w:rPr>
          <w:rFonts w:hint="eastAsia" w:ascii="Times New Roman" w:hAnsi="Times New Roman" w:eastAsia="宋体"/>
          <w:b/>
          <w:sz w:val="28"/>
          <w:szCs w:val="28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4F6462">
        <w:rPr>
          <w:rFonts w:ascii="Times New Roman" w:hAnsi="Times New Roman" w:eastAsia="宋体"/>
          <w:b/>
          <w:sz w:val="28"/>
          <w:szCs w:val="28"/>
        </w:rPr>
        <w:t xml:space="preserve"/>
      </w:r>
      <w:r w:rsidR="004F6462">
        <w:rPr>
          <w:rFonts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  <w:r w:rsidR="00123C41">
        <w:rPr>
          <w:rFonts w:hint="eastAsia" w:ascii="Times New Roman" w:hAnsi="Times New Roman" w:eastAsia="宋体"/>
          <w:b/>
          <w:sz w:val="28"/>
          <w:szCs w:val="28"/>
        </w:rPr>
        <w:t/>
      </w:r>
    </w:p>
    <w:p w14:paraId="2056EA74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空间向量及其运算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1.1.1</w:t>
      </w:r>
      <w:r>
        <w:rPr>
          <w:b/>
          <w:rFonts w:ascii="Times New Roman" w:hAnsi="Times New Roman" w:eastAsia="宋体"/>
          <w:sz w:val="24"/>
          <w:szCs w:val="24"/>
        </w:rPr>
        <w:t xml:space="preserve"> 空间向量及其运算</w:t>
      </w:r>
    </w:p>
    <w:p w14:paraId="5F53780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1．</w:t>
      </w:r>
      <w:r>
        <w:rPr>
          <w:rFonts w:ascii="Times New Roman" w:hAnsi="Times New Roman" w:eastAsia="宋体"/>
          <w:sz w:val="21"/>
          <w:szCs w:val="21"/>
        </w:rPr>
        <w:t>空间向量</w:t>
      </w:r>
    </w:p>
    <w:p w14:paraId="202FB6D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1948E64" w14:textId="77777777" w:rsidR="00A75E48" w:rsidRDefault="004F6462" w:rsidP="004F498C">
      <w:pPr>
        <w:snapToGrid w:val="0"/>
        <w:spacing w:line="288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21FF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3．</w:t>
      </w:r>
      <w:r>
        <w:rPr>
          <w:rFonts w:ascii="Times New Roman" w:hAnsi="Times New Roman" w:eastAsia="宋体"/>
          <w:sz w:val="21"/>
          <w:szCs w:val="21"/>
        </w:rPr>
        <w:t>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6F9D6E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4．</w:t>
      </w:r>
      <w:r>
        <w:rPr>
          <w:rFonts w:ascii="Times New Roman" w:hAnsi="Times New Roman" w:eastAsia="宋体"/>
          <w:sz w:val="21"/>
          <w:szCs w:val="21"/>
        </w:rPr>
        <w:t>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288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288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552C268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5．</w:t>
      </w:r>
      <w:r>
        <w:rPr>
          <w:rFonts w:ascii="Times New Roman" w:hAnsi="Times New Roman" w:eastAsia="宋体"/>
          <w:sz w:val="21"/>
          <w:szCs w:val="21"/>
        </w:rPr>
        <w:t>空间向量共线的充要条件</w:t>
      </w:r>
    </w:p>
    <w:p w14:paraId="19D014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B269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6．</w:t>
      </w:r>
      <w:r>
        <w:rPr>
          <w:rFonts w:ascii="Times New Roman" w:hAnsi="Times New Roman" w:eastAsia="宋体"/>
          <w:sz w:val="21"/>
          <w:szCs w:val="21"/>
        </w:rPr>
        <w:t>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shd w:val="clear" w:color="auto" w:fill="C9C9C9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shd w:val="clear" w:color="auto" w:fill="C9C9C9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288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shd w:val="clear" w:color="auto" w:fill="C9C9C9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shd w:val="clear" w:color="auto" w:fill="C9C9C9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24CF7BC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7．</w:t>
      </w:r>
      <w:r>
        <w:rPr>
          <w:rFonts w:ascii="Times New Roman" w:hAnsi="Times New Roman" w:eastAsia="宋体"/>
          <w:sz w:val="21"/>
          <w:szCs w:val="21"/>
        </w:rPr>
        <w:t>空间向量的数量积</w:t>
      </w:r>
    </w:p>
    <w:p w14:paraId="46CD418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||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|</m:t>
        </m:r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r>
          <w:rPr>
            <w:rFonts w:ascii="Times New Roman" w:hAnsi="Times New Roman" w:cs="Cambria Math"/>
            <w:shd w:val="clear" w:color="auto" w:fill="C9C9C9"/>
          </w:rPr>
          <m:t>〈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,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 xml:space="preserve">【微提醒】</w:t>
      </w:r>
      <w:r>
        <w:rPr>
          <w:rFonts w:ascii="Times New Roman" w:hAnsi="Times New Roman" w:eastAsia="宋体"/>
          <w:sz w:val="21"/>
          <w:szCs w:val="21"/>
        </w:rPr>
        <w:t xml:space="preserve">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22309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8．</w:t>
      </w:r>
      <w:r>
        <w:rPr>
          <w:rFonts w:ascii="Times New Roman" w:hAnsi="Times New Roman" w:eastAsia="宋体"/>
          <w:sz w:val="21"/>
          <w:szCs w:val="21"/>
        </w:rPr>
        <w:t>投影向量</w:t>
      </w:r>
    </w:p>
    <w:p w14:paraId="2524FE0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shd w:val="clear" w:color="auto" w:fill="C9C9C9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shd w:val="clear" w:color="auto" w:fill="C9C9C9"/>
          </w:rPr>
          <m:t>⋅</m:t>
        </m:r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738878C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9．</w:t>
      </w:r>
      <w:r>
        <w:rPr>
          <w:rFonts w:ascii="Times New Roman" w:hAnsi="Times New Roman" w:eastAsia="宋体"/>
          <w:sz w:val="21"/>
          <w:szCs w:val="21"/>
        </w:rPr>
        <w:t>空间向量共面的充要条件</w:t>
      </w:r>
    </w:p>
    <w:p w14:paraId="558F995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A7B99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空间向量基本定理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6986E4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10．</w:t>
      </w:r>
      <w:r>
        <w:rPr>
          <w:rFonts w:ascii="Times New Roman" w:hAnsi="Times New Roman" w:eastAsia="宋体"/>
          <w:sz w:val="21"/>
          <w:szCs w:val="21"/>
        </w:rPr>
        <w:t>空间向量基本定理</w:t>
      </w:r>
    </w:p>
    <w:p w14:paraId="76EFD07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9D48DB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11．</w:t>
      </w:r>
      <w:r>
        <w:rPr>
          <w:rFonts w:ascii="Times New Roman" w:hAnsi="Times New Roman" w:eastAsia="宋体"/>
          <w:sz w:val="21"/>
          <w:szCs w:val="21"/>
        </w:rPr>
        <w:t>单位正交基底与正交分解</w:t>
      </w:r>
    </w:p>
    <w:p w14:paraId="3A4C458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单位正交基底</w:t>
      </w:r>
    </w:p>
    <w:p w14:paraId="1B13DC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正交分解</w:t>
      </w:r>
    </w:p>
    <w:p w14:paraId="594EB70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1DF7ADB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1.1.3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空间向量的坐标与空间直角坐标系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 w14:paraId="41CF18B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12．</w:t>
      </w:r>
      <w:r>
        <w:rPr>
          <w:rFonts w:ascii="Times New Roman" w:hAnsi="Times New Roman" w:eastAsia="宋体"/>
          <w:sz w:val="21"/>
          <w:szCs w:val="21"/>
        </w:rPr>
        <w:t>空间直角坐标系</w:t>
      </w:r>
    </w:p>
    <w:p w14:paraId="40F343C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DA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13．</w:t>
      </w:r>
      <w:r>
        <w:rPr>
          <w:rFonts w:ascii="Times New Roman" w:hAnsi="Times New Roman" w:eastAsia="宋体"/>
          <w:sz w:val="21"/>
          <w:szCs w:val="21"/>
        </w:rPr>
        <w:t>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或</w:t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shd w:val="clear" w:color="auto" w:fill="C9C9C9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7CA61B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14．</w:t>
      </w:r>
      <w:r>
        <w:rPr>
          <w:rFonts w:ascii="Times New Roman" w:hAnsi="Times New Roman" w:eastAsia="宋体"/>
          <w:sz w:val="21"/>
          <w:szCs w:val="21"/>
        </w:rPr>
        <w:t>右手直角坐标系的定义</w:t>
      </w:r>
    </w:p>
    <w:p w14:paraId="0B6E7C6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89A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15．</w:t>
      </w:r>
      <w:r>
        <w:rPr>
          <w:rFonts w:ascii="Times New Roman" w:hAnsi="Times New Roman" w:eastAsia="宋体"/>
          <w:sz w:val="21"/>
          <w:szCs w:val="21"/>
        </w:rPr>
        <w:t>空间直角坐标系中的坐标</w:t>
      </w:r>
    </w:p>
    <w:p w14:paraId="2E657B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空间直角坐标系中向量的坐标</w:t>
      </w:r>
    </w:p>
    <w:p w14:paraId="18026BE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+z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90C57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16．</w:t>
      </w:r>
      <w:r>
        <w:rPr>
          <w:rFonts w:ascii="Times New Roman" w:hAnsi="Times New Roman" w:eastAsia="宋体"/>
          <w:sz w:val="21"/>
          <w:szCs w:val="21"/>
        </w:rPr>
        <w:t>空间向量的坐标运算</w:t>
      </w:r>
    </w:p>
    <w:p w14:paraId="7587FB34" w14:textId="359EF7E2" w:rsidR="00A75E48" w:rsidRP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235A9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17．</w:t>
      </w:r>
      <w:r>
        <w:rPr>
          <w:rFonts w:ascii="Times New Roman" w:hAnsi="Times New Roman" w:eastAsia="宋体"/>
          <w:sz w:val="21"/>
          <w:szCs w:val="21"/>
        </w:rPr>
        <w:t>空间向量的平行、垂直及模、夹角</w:t>
      </w:r>
    </w:p>
    <w:p w14:paraId="4A58B1DB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,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+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4CEED4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18．</w:t>
      </w:r>
      <w:r>
        <w:rPr>
          <w:rFonts w:ascii="Times New Roman" w:hAnsi="Times New Roman" w:eastAsia="宋体"/>
          <w:sz w:val="21"/>
          <w:szCs w:val="21"/>
        </w:rPr>
        <w:t>空间两点间的距离公式</w:t>
      </w:r>
    </w:p>
    <w:p w14:paraId="317213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C4DA6A8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b/>
          <w:sz w:val="24"/>
          <w:szCs w:val="24"/>
          <w:shd w:val="clear" w:color="auto" w:fill="C9C9C9"/>
        </w:rPr>
        <w:t xml:space="preserve">1.2</w:t>
      </w:r>
      <w:r>
        <w:rPr>
          <w:rFonts w:ascii="Times New Roman" w:hAnsi="Times New Roman" w:eastAsia="宋体"/>
          <w:b/>
          <w:sz w:val="24"/>
          <w:szCs w:val="24"/>
        </w:rPr>
        <w:t xml:space="preserve"> 空间向量在立体几何中的应用</w:t>
      </w:r>
      <w:r>
        <w:rPr>
          <w:rFonts w:ascii="Times New Roman" w:hAnsi="Times New Roman" w:eastAsia="宋体"/>
          <w:b/>
          <w:sz w:val="24"/>
          <w:szCs w:val="24"/>
        </w:rPr>
        <w:t/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1.2.1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空间中的点、直线与空间向量</w:t>
      </w:r>
    </w:p>
    <w:p w14:paraId="69FF49C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19．</w:t>
      </w:r>
      <w:r>
        <w:rPr>
          <w:rFonts w:ascii="Times New Roman" w:hAnsi="Times New Roman" w:eastAsia="宋体"/>
          <w:sz w:val="21"/>
          <w:szCs w:val="21"/>
        </w:rPr>
        <w:t>点的位置向量</w:t>
      </w:r>
    </w:p>
    <w:p w14:paraId="01BE53D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45C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20．</w:t>
      </w:r>
      <w:r>
        <w:rPr>
          <w:rFonts w:ascii="Times New Roman" w:hAnsi="Times New Roman" w:eastAsia="宋体"/>
          <w:sz w:val="21"/>
          <w:szCs w:val="21"/>
        </w:rPr>
        <w:t>直线的方向向量</w:t>
      </w:r>
    </w:p>
    <w:p w14:paraId="60FC81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1053918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21．</w:t>
      </w:r>
      <w:r>
        <w:rPr>
          <w:rFonts w:ascii="Times New Roman" w:hAnsi="Times New Roman" w:eastAsia="宋体"/>
          <w:sz w:val="21"/>
          <w:szCs w:val="21"/>
        </w:rPr>
        <w:t>空间直线的向量表示式</w:t>
      </w:r>
    </w:p>
    <w:p w14:paraId="1C6B72D2" w14:textId="72668C52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+t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EBB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22．</w:t>
      </w:r>
      <w:r>
        <w:rPr>
          <w:rFonts w:ascii="Times New Roman" w:hAnsi="Times New Roman" w:eastAsia="宋体"/>
          <w:sz w:val="21"/>
          <w:szCs w:val="21"/>
        </w:rPr>
        <w:t>直线与直线平行</w:t>
      </w:r>
    </w:p>
    <w:p w14:paraId="7146033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E16734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23．</w:t>
      </w:r>
      <w:r>
        <w:rPr>
          <w:rFonts w:ascii="Times New Roman" w:hAnsi="Times New Roman" w:eastAsia="宋体"/>
          <w:sz w:val="21"/>
          <w:szCs w:val="21"/>
        </w:rPr>
        <w:t>直线与直线垂直</w:t>
      </w:r>
    </w:p>
    <w:p w14:paraId="1E50873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1.2.2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空间中的平面与空间向量</w:t>
      </w:r>
    </w:p>
    <w:p w14:paraId="6323105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24．</w:t>
      </w:r>
      <w:r>
        <w:rPr>
          <w:rFonts w:ascii="Times New Roman" w:hAnsi="Times New Roman" w:eastAsia="宋体"/>
          <w:sz w:val="21"/>
          <w:szCs w:val="21"/>
        </w:rPr>
        <w:t>平面的向量表示式</w:t>
      </w:r>
    </w:p>
    <w:p w14:paraId="53369F10" w14:textId="131FD78D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+x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+y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BBA9E5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25．</w:t>
      </w:r>
      <w:r>
        <w:rPr>
          <w:rFonts w:ascii="Times New Roman" w:hAnsi="Times New Roman" w:eastAsia="宋体"/>
          <w:sz w:val="21"/>
          <w:szCs w:val="21"/>
        </w:rPr>
        <w:t>平面的法向量</w:t>
      </w:r>
    </w:p>
    <w:p w14:paraId="4158EA2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C03E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26．</w:t>
      </w:r>
      <w:r>
        <w:rPr>
          <w:rFonts w:ascii="Times New Roman" w:hAnsi="Times New Roman" w:eastAsia="宋体"/>
          <w:sz w:val="21"/>
          <w:szCs w:val="21"/>
        </w:rPr>
        <w:t>直线与平面平行</w:t>
      </w:r>
    </w:p>
    <w:p w14:paraId="00BE262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⋅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CEE81AE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27．</w:t>
      </w:r>
      <w:r>
        <w:rPr>
          <w:rFonts w:ascii="Times New Roman" w:hAnsi="Times New Roman" w:eastAsia="宋体"/>
          <w:sz w:val="21"/>
          <w:szCs w:val="21"/>
        </w:rPr>
        <w:t>平面与平面平行</w:t>
      </w:r>
    </w:p>
    <w:p w14:paraId="34F1A5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=λ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346C380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28．</w:t>
      </w:r>
      <w:r>
        <w:rPr>
          <w:rFonts w:ascii="Times New Roman" w:hAnsi="Times New Roman" w:eastAsia="宋体"/>
          <w:sz w:val="21"/>
          <w:szCs w:val="21"/>
        </w:rPr>
        <w:t>直线与平面垂直</w:t>
      </w:r>
    </w:p>
    <w:p w14:paraId="7CC6EC9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shd w:val="clear" w:color="auto" w:fill="C9C9C9"/>
          </w:rPr>
          <m:t>=λ</m:t>
        </m:r>
        <m:acc>
          <m:accPr>
            <m:chr m:val="⃑"/>
            <m:ctrlPr>
              <w:rPr>
                <w:rFonts w:ascii="Times New Roman" w:hAnsi="Times New Roman"/>
                <w:shd w:val="clear" w:color="auto" w:fill="C9C9C9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E5991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29．</w:t>
      </w:r>
      <w:r>
        <w:rPr>
          <w:rFonts w:ascii="Times New Roman" w:hAnsi="Times New Roman" w:eastAsia="宋体"/>
          <w:sz w:val="21"/>
          <w:szCs w:val="21"/>
        </w:rPr>
        <w:t>平面与平面垂直</w:t>
      </w:r>
    </w:p>
    <w:p w14:paraId="702E8AA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⋅</m:t>
        </m:r>
        <m:sSub>
          <m:sSubPr>
            <m:ctrlPr>
              <w:rPr>
                <w:rFonts w:ascii="Times New Roman" w:hAnsi="Times New Roman"/>
                <w:shd w:val="clear" w:color="auto" w:fill="C9C9C9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shd w:val="clear" w:color="auto" w:fill="C9C9C9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1.2.3</w:t>
      </w:r>
      <w:r>
        <w:rPr>
          <w:b/>
          <w:rFonts w:ascii="Times New Roman" w:hAnsi="Times New Roman" w:eastAsia="宋体"/>
          <w:sz w:val="24"/>
          <w:szCs w:val="24"/>
        </w:rPr>
        <w:t xml:space="preserve"> 直线与平面的夹角</w:t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1.2.4</w:t>
      </w:r>
      <w:r>
        <w:rPr>
          <w:b/>
          <w:rFonts w:ascii="Times New Roman" w:hAnsi="Times New Roman" w:eastAsia="宋体"/>
          <w:sz w:val="24"/>
          <w:szCs w:val="24"/>
        </w:rPr>
        <w:t xml:space="preserve"> 二面角</w:t>
      </w:r>
    </w:p>
    <w:p w14:paraId="46115B4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30．</w:t>
      </w:r>
      <w:r>
        <w:rPr>
          <w:rFonts w:ascii="Times New Roman" w:hAnsi="Times New Roman" w:eastAsia="宋体"/>
          <w:sz w:val="21"/>
          <w:szCs w:val="21"/>
        </w:rPr>
        <w:t>夹角</w:t>
      </w:r>
    </w:p>
    <w:p w14:paraId="22E85EE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求异面直线所成的角</w:t>
      </w:r>
    </w:p>
    <w:p w14:paraId="478CC9A3" w14:textId="6A7EA3C3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求直线和平面所成的角</w:t>
      </w:r>
    </w:p>
    <w:p w14:paraId="128EA3B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求二面角</w:t>
      </w:r>
    </w:p>
    <w:p w14:paraId="50DC694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求平面与平面的夹角</w:t>
      </w:r>
    </w:p>
    <w:p w14:paraId="6A966BE3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shd w:val="clear" w:color="auto" w:fill="C9C9C9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288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left"/>
      </w:pPr>
      <w:r>
        <w:rPr>
          <w:b/>
          <w:rFonts w:ascii="Times New Roman" w:hAnsi="Times New Roman" w:eastAsia="宋体"/>
          <w:sz w:val="24"/>
          <w:szCs w:val="24"/>
          <w:shd w:val="clear" w:color="auto" w:fill="C9C9C9"/>
        </w:rPr>
        <w:t xml:space="preserve">1.2.5</w:t>
      </w:r>
      <w:r>
        <w:rPr>
          <w:b/>
          <w:rFonts w:ascii="Times New Roman" w:hAnsi="Times New Roman" w:eastAsia="宋体"/>
          <w:sz w:val="24"/>
          <w:szCs w:val="24"/>
        </w:rPr>
        <w:t xml:space="preserve"> 空间中的距离</w:t>
      </w:r>
    </w:p>
    <w:p w14:paraId="6DB011CD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  <w:shd w:val="clear" w:color="auto" w:fill="C9C9C9"/>
        </w:rPr>
        <w:t>31．</w:t>
      </w:r>
      <w:r>
        <w:rPr>
          <w:rFonts w:ascii="Times New Roman" w:hAnsi="Times New Roman" w:eastAsia="宋体"/>
          <w:sz w:val="21"/>
          <w:szCs w:val="21"/>
        </w:rPr>
        <w:t>距离</w:t>
      </w:r>
    </w:p>
    <w:p w14:paraId="16A7D21F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（1）</w:t>
      </w:r>
      <w:r>
        <w:rPr>
          <w:rFonts w:ascii="Times New Roman" w:hAnsi="Times New Roman" w:eastAsia="宋体"/>
          <w:sz w:val="21"/>
          <w:szCs w:val="21"/>
        </w:rPr>
        <w:t>点到直线的距离</w:t>
      </w:r>
    </w:p>
    <w:p w14:paraId="3F34B16C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（2）</w:t>
      </w:r>
      <w:r>
        <w:rPr>
          <w:rFonts w:ascii="Times New Roman" w:hAnsi="Times New Roman" w:eastAsia="宋体"/>
          <w:sz w:val="21"/>
          <w:szCs w:val="21"/>
        </w:rPr>
        <w:t>两条平行直线之间的距离</w:t>
      </w:r>
    </w:p>
    <w:p w14:paraId="5C39E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shd w:val="clear" w:color="auto" w:fill="C9C9C9"/>
          </w:rPr>
          <m:t>P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到直线</w:t>
      </w:r>
      <m:oMath>
        <m:r>
          <w:rPr>
            <w:rFonts w:ascii="Times New Roman" w:hAnsi="Times New Roman" w:cs="Cambria Math"/>
            <w:shd w:val="clear" w:color="auto" w:fill="C9C9C9"/>
          </w:rPr>
          <m:t>m</m:t>
        </m:r>
      </m:oMath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（3）</w:t>
      </w:r>
      <w:r>
        <w:rPr>
          <w:rFonts w:ascii="Times New Roman" w:hAnsi="Times New Roman" w:eastAsia="宋体"/>
          <w:sz w:val="21"/>
          <w:szCs w:val="21"/>
        </w:rPr>
        <w:t>求点面距</w:t>
      </w:r>
    </w:p>
    <w:p w14:paraId="690C1A52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shd w:val="clear" w:color="auto" w:fill="C9C9C9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  <w:shd w:val="clear" w:color="auto" w:fill="C9C9C9"/>
        </w:rPr>
        <w:t>（4）</w:t>
      </w:r>
      <w:r>
        <w:rPr>
          <w:rFonts w:ascii="Times New Roman" w:hAnsi="Times New Roman" w:eastAsia="宋体"/>
          <w:sz w:val="21"/>
          <w:szCs w:val="21"/>
        </w:rPr>
        <w:t>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288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shd w:val="clear" w:color="auto" w:fill="C9C9C9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headerReference w:type="default" r:id="rId25"/>
      <w:footerReference w:type="default" r:id="rId21"/>
      <w:pgSz w:w="11906" w:h="16838"/>
      <w:pgMar w:top="850" w:right="850" w:bottom="850" w:left="850" w:header="283" w:footer="850" w:gutter="0"/>
      <w:pgNumType w:start="16"/>
      <w:cols w:sep="1" w:space="425"/>
      <w:docGrid w:type="default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第1章·清单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16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357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·本部位于第1–6页（共6页）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第1章 空间向量与立体几何·清单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