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93．（中档）</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94．（中档）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95．（中档）</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96．（难）</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98．（简单）</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99．（中档）</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100．（中档）</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ind w:leftChars="200"/>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shd w:val="clear" w:color="auto" w:fill="C9C9C9"/>
        </w:rPr>
        <w:t>1．</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2．</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shd w:val="clear" w:color="auto" w:fill="C9C9C9"/>
        </w:rPr>
        <w:t>4．</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shd w:val="clear" w:color="auto" w:fill="C9C9C9"/>
        </w:rPr>
        <w:t>5．</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101．（中档）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103．（中档）</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104．（难）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106．（中档）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108．（中档）</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109．（中档）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110．（中档）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111．（难）</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112．（简单）</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113．（中档）</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2.4.1.9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114．（中档）</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115．（难）</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2.4.1.10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116．（难）</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2.4.1.11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117．（难）</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2.4.1.12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118．（中档）</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2.4.1.13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119．（难）</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ind w:leftChars="200"/>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120．（简单）</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121．（中档）</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122．（中档）</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123．（中档）</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124．（中档）</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125．（中档）</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126．（中档）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127．（中档）</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128．（中档）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129．（简单）</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ind w:leftChars="200"/>
      </w:pPr>
      <w:r>
        <w:rPr>
          <w:b/>
          <w:sz w:val="21"/>
          <w:szCs w:val="21"/>
          <w:shd w:val="clear" w:color="auto" w:fill="C9C9C9"/>
        </w:rPr>
        <w:t xml:space="preserve">2.5.1.2 </w:t>
      </w:r>
      <w:r>
        <w:rPr>
          <w:b/>
          <w:sz w:val="21"/>
          <w:szCs w:val="21"/>
        </w:rPr>
        <w:t xml:space="preserve">方法讲解｜焦点三角形综合模型（大招35·焦点三角形综合模型）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sz w:val="21"/>
          <w:shd w:val="clear" w:color="auto" w:fill="C9C9C9"/>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shd w:val="clear" w:color="auto" w:fill="C9C9C9"/>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130．（中档）</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131．（难）</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ind w:leftChars="200"/>
      </w:pPr>
      <w:r>
        <w:rPr>
          <w:b/>
          <w:sz w:val="21"/>
          <w:szCs w:val="21"/>
          <w:shd w:val="clear" w:color="auto" w:fill="C9C9C9"/>
        </w:rPr>
        <w:t xml:space="preserve">2.5.1.3 </w:t>
      </w:r>
      <w:r>
        <w:rPr>
          <w:b/>
          <w:sz w:val="21"/>
          <w:szCs w:val="21"/>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132．（中档）</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133．（难）</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134．（难）</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135．（难）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136．（难）</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137．（难）</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2.5.1.3.5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138．（中档）</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2.5.1.3.6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140．（中档）</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2.5.1.3.7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141．（简单）</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142．（中档）</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2.5.1.3.8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143．（中档）</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144．（中档）</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2.5.1.3.9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145．（中档）</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2.5.1.3.10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146．（中档）</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147．（简单）</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148．（简单）</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149．（简单）</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150．（中档）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151．（中档）</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152．（简单）</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153．（简单）</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154．（简单）</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155．（简单）</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156．（中档）</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157．（中档）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158．（中档）</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2.5.2.7.2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160．（中档）</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2.5.2.7.3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161．（简单）</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162．（中档）</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2.5.2.7.4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163．（中档）</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2.5.2.7.5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164．（中档）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ind w:leftChars="200"/>
      </w:pPr>
      <w:r>
        <w:rPr>
          <w:b/>
          <w:sz w:val="21"/>
          <w:szCs w:val="21"/>
          <w:shd w:val="clear" w:color="auto" w:fill="C9C9C9"/>
        </w:rPr>
        <w:t xml:space="preserve">2.5.2.8 </w:t>
      </w:r>
      <w:r>
        <w:rPr>
          <w:b/>
          <w:sz w:val="21"/>
          <w:szCs w:val="21"/>
        </w:rPr>
        <w:t xml:space="preserve">方法讲解｜圆锥曲线第三定义（大招34·圆锥曲线三大定义及应用）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sz w:val="21"/>
          <w:shd w:val="clear" w:color="auto" w:fill="C9C9C9"/>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sz w:val="21"/>
          <w:shd w:val="clear" w:color="auto" w:fill="C9C9C9"/>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sz w:val="21"/>
          <w:shd w:val="clear" w:color="auto" w:fill="C9C9C9"/>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sz w:val="21"/>
          <w:shd w:val="clear" w:color="auto" w:fill="C9C9C9"/>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165．（中档）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2.5.2.8.2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166．（中档）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2.5.2.8.3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167．（中档）</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2.5.2.8.4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168．（中档）</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169．（难）</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2.5.2.8.5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170．（难）</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2.5.2.8.6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171．（难）</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2.5.2.8.7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172．（难）</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2.5.2.8.8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173．（简单）</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174．（难）</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2.5.2.8.9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175．（中档）</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176．（中档）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2.5.2.8.10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2.5.2.8.11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178．（难）</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2.5.2.8.12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179．（中档）</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2.5.2.8.13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180．（难）</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2.5.2.8.14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181．（难）</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182．（难）</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357</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·本部位于第49–105页（共206页）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