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人教B版选必1·使用说明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视觉锚图例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b/>
          <w:sz w:val="21"/>
          <w:szCs w:val="21"/>
          <w:shd w:val="clear" w:color="auto" w:fill="C9C9C9"/>
        </w:rPr>
        <w:t>1．（简单）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　题号难度块：每道题开头的编号与难度档位，加粗灰底且只盖编号块本身；题与题之间不留空行，靠它分隔。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9C9C9"/>
        </w:rPr>
        <w:t>必背内容与答案值</w:t>
      </w:r>
      <w:r>
        <w:rPr>
          <w:rFonts w:ascii="Times New Roman" w:hAnsi="Times New Roman" w:eastAsia="宋体" w:cs="Times New Roman"/>
          <w:sz w:val="21"/>
          <w:szCs w:val="21"/>
        </w:rPr>
        <w:t xml:space="preserve">　内容标记：填空答案、【答案】后的答案值与需要背下来的内容盖浅灰底纹（不加粗），只盖内容本身——本行左侧灰底即式样。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hd w:val="clear" w:color="auto" w:fill="C9C9C9"/>
          <w:sz w:val="21"/>
          <w:szCs w:val="21"/>
        </w:rPr>
        <w:t xml:space="preserve">【答案】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hd w:val="clear" w:color="auto" w:fill="C9C9C9"/>
          <w:sz w:val="21"/>
          <w:szCs w:val="21"/>
        </w:rPr>
        <w:t xml:space="preserve">【知识点】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hd w:val="clear" w:color="auto" w:fill="C9C9C9"/>
          <w:sz w:val="21"/>
          <w:szCs w:val="21"/>
        </w:rPr>
        <w:t xml:space="preserve">【分析】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hd w:val="clear" w:color="auto" w:fill="C9C9C9"/>
          <w:sz w:val="21"/>
          <w:szCs w:val="21"/>
        </w:rPr>
        <w:t xml:space="preserve">【详解】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hd w:val="clear" w:color="auto" w:fill="C9C9C9"/>
          <w:sz w:val="21"/>
          <w:szCs w:val="21"/>
        </w:rPr>
        <w:t xml:space="preserve">【点睛】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hd w:val="clear" w:color="auto" w:fill="C9C9C9"/>
          <w:sz w:val="21"/>
          <w:szCs w:val="21"/>
        </w:rPr>
        <w:t xml:space="preserve">【大招指引】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hd w:val="clear" w:color="auto" w:fill="C9C9C9"/>
          <w:sz w:val="21"/>
          <w:szCs w:val="21"/>
        </w:rPr>
        <w:t xml:space="preserve">【题后反思】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　块标签芯片：题块内功能标签与行内栏目小标签（含【编注】【温馨提醒】等），同款灰底、不加粗、只盖标签本身。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b/>
          <w:sz w:val="24"/>
          <w:szCs w:val="24"/>
          <w:shd w:val="clear" w:color="auto" w:fill="C9C9C9"/>
        </w:rPr>
        <w:t>1.1.1</w:t>
      </w:r>
      <w:r>
        <w:rPr>
          <w:rFonts w:ascii="Times New Roman" w:hAnsi="Times New Roman" w:eastAsia="宋体" w:cs="Times New Roman"/>
          <w:sz w:val="21"/>
          <w:szCs w:val="21"/>
        </w:rPr>
        <w:t xml:space="preserve">　节标题序号灰块：教材节标题开头的节号灰底加粗，其后的节标题文字为小四加粗、不盖灰。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b/>
          <w:shd w:val="clear" w:color="auto" w:fill="C9C9C9"/>
          <w:sz w:val="21"/>
          <w:szCs w:val="21"/>
        </w:rPr>
        <w:t xml:space="preserve">2.4.1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 方法讲解｜主题名…</w:t>
      </w:r>
      <w:r>
        <w:rPr>
          <w:rFonts w:ascii="Times New Roman" w:hAnsi="Times New Roman" w:eastAsia="宋体" w:cs="Times New Roman"/>
          <w:sz w:val="21"/>
          <w:szCs w:val="21"/>
        </w:rPr>
        <w:t xml:space="preserve">　讲部标题序号灰块：讲部标题开头的序号「父号.k」灰底加粗（五号、缩进2字符），只盖序号本身，标题文字加粗不盖灰。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b/>
          <w:shd w:val="clear" w:color="auto" w:fill="C9C9C9"/>
          <w:sz w:val="21"/>
          <w:szCs w:val="21"/>
        </w:rPr>
        <w:t xml:space="preserve">2.4.1.1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 节名：考点（方法）…</w:t>
      </w:r>
      <w:r>
        <w:rPr>
          <w:rFonts w:ascii="Times New Roman" w:hAnsi="Times New Roman" w:eastAsia="宋体" w:cs="Times New Roman"/>
          <w:sz w:val="21"/>
          <w:szCs w:val="21"/>
        </w:rPr>
        <w:t xml:space="preserve">　题型标题序号灰块：题型标题开头的父链序号「父号.j」灰底加粗（五号、缩进4字符），只盖序号本身，标题文字加粗不盖灰。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9C9C9"/>
        </w:rPr>
        <w:t xml:space="preserve">1．</w:t>
      </w:r>
      <w:r>
        <w:rPr>
          <w:rFonts w:ascii="Times New Roman" w:hAnsi="Times New Roman" w:eastAsia="宋体" w:cs="Times New Roman"/>
          <w:sz w:val="21"/>
          <w:szCs w:val="21"/>
        </w:rPr>
        <w:t xml:space="preserve">　知识清单与讲部条目号灰块：条目题名行（知识清单条目、讲部条目）的条目号「N．」同款灰底、不加粗、只盖条目号本身，条目题名文字不盖灰。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hd w:val="clear" w:color="auto" w:fill="C9C9C9"/>
          <w:sz w:val="21"/>
          <w:szCs w:val="21"/>
        </w:rPr>
        <w:t xml:space="preserve">（1）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　条目第一子层序号灰块：条目下第一子层「（N）」同款灰底、不加粗、只盖序号本身；第二子层①②③、更深层（N）与题目小问(1)(2)不挂。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9C9C9"/>
        </w:rPr>
        <w:t>【编注】</w:t>
      </w:r>
      <w:r>
        <w:rPr>
          <w:rFonts w:ascii="Times New Roman" w:hAnsi="Times New Roman" w:eastAsia="宋体" w:cs="Times New Roman"/>
          <w:sz w:val="21"/>
          <w:szCs w:val="21"/>
        </w:rPr>
        <w:t xml:space="preserve">　行内小标签芯片（挂灰底、不加粗）：【编注】开头的内容＝编者补写的思路提示或通法，不是素材原文。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难度三档与建议学习路径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简单：单一知识点直接套用、一两步即可完成；简单档具备本章高考约60%分数目标所需的基本能力。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中档：常规解法需多步转化，或跨一两个知识点的常规组合；简单＋中档合计具备本章高考约80%分数目标所需的能力。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难：只收特别难的题（含原卷压轴），具备本章冲击满分所需的全部能力；名难实易的题一律放简单或中档。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建议学习路径：知识清单 → 衔接件 → 讲练件。先用知识清单过一遍本章知识、背下灰底必背内容；有衔接件的章先刷衔接件补齐初中铺垫；再用讲练件按节推进，先读讲部分再做题，组内由易到难。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本册件型用法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知识清单：本章全部知识条目按教材节归类，填空答案与必背内容已盖灰底；课前预习与考前背诵用，逐节过。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衔接件（仅与初中有映照的章配备）：只考「初中已学＋本章以前」的铺垫题；学本章之前先自测，卡壳处回补后再进本章。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讲练件（每章一件，分卷题号连续）：本册核心件；讲部分（知识讲解＋例题）排在对应题型组之前，题目按教材节×题型分组、组内由易到难，题号后即难度档位；章首有导航表与全件统计行。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错题记录表附页：每章最后一件（讲练件分卷时为末卷）末尾一页，是三列空行自填表「题号｜错因｜重做日期」；题号列由自己填写，错因可参考示例「知识不会／方法没想到／计算错／审题错」，重做日期用于跟踪回炉；约40行，写满自行续页复印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288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