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知识清单（完成）</w:t>
      </w:r>
    </w:p>
    <w:p w14:paraId="6204B3DF" w14:textId="77777777" w:rsidR="00000000" w:rsidRPr="00043B54" w:rsidRDefault="00000000" w:rsidP="00A90183">
      <w:pPr>
        <w:snapToGrid w:val="0"/>
        <w:spacing w:line="288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288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4CF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D1CB11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7CE24C" w14:textId="77777777" w:rsidR="00823AFE" w:rsidRDefault="00000000">
      <w:pPr>
        <w:spacing w:after="0" w:line="288" w:lineRule="auto"/>
        <w:ind w:leftChars="20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&lt;180°</m:t>
                </m:r>
              </m:oMath>
            </m:oMathPara>
          </w:p>
        </w:tc>
      </w:tr>
    </w:tbl>
    <w:p w14:paraId="7827CE6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斜率的定义</w:t>
      </w:r>
    </w:p>
    <w:p w14:paraId="2A26E598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92B760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5．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斜率公式</w:t>
      </w:r>
    </w:p>
    <w:p w14:paraId="435B846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16D93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6．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直线的方向向量</w:t>
      </w:r>
    </w:p>
    <w:p w14:paraId="4C97145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（1）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（2）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5709D1E9" w14:textId="77777777" w:rsidR="00823AFE" w:rsidRDefault="00000000">
      <w:pPr>
        <w:spacing w:after="0" w:line="288" w:lineRule="auto"/>
        <w:ind w:leftChars="20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7．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092A81F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8．</w:t>
      </w:r>
      <w:r>
        <w:rPr>
          <w:rFonts w:ascii="Times New Roman" w:eastAsia="宋体" w:hAnsi="Times New Roman" w:cs="Times New Roman"/>
          <w:sz w:val="21"/>
          <w:szCs w:val="21"/>
        </w:rPr>
        <w:t>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77492FC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9．</w:t>
      </w:r>
      <w:r>
        <w:rPr>
          <w:rFonts w:ascii="Times New Roman" w:eastAsia="宋体" w:hAnsi="Times New Roman" w:cs="Times New Roman"/>
          <w:sz w:val="21"/>
          <w:szCs w:val="21"/>
        </w:rPr>
        <w:t>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22C87B6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10．</w:t>
      </w:r>
      <w:r>
        <w:rPr>
          <w:rFonts w:ascii="Times New Roman" w:eastAsia="宋体" w:hAnsi="Times New Roman" w:cs="Times New Roman"/>
          <w:sz w:val="21"/>
          <w:szCs w:val="21"/>
        </w:rPr>
        <w:t>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64D3CBE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11．</w:t>
      </w:r>
      <w:r>
        <w:rPr>
          <w:rFonts w:ascii="Times New Roman" w:eastAsia="宋体" w:hAnsi="Times New Roman" w:cs="Times New Roman"/>
          <w:sz w:val="21"/>
          <w:szCs w:val="21"/>
        </w:rPr>
        <w:t>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15772170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直线的一般式方程</w:t>
      </w:r>
    </w:p>
    <w:p w14:paraId="164A8A2D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（1）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（2）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36938773" w14:textId="77777777" w:rsidR="00823AFE" w:rsidRDefault="00000000">
      <w:pPr>
        <w:spacing w:after="0" w:line="288" w:lineRule="auto"/>
        <w:ind w:leftChars="20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62BE738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74F735C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15．</w:t>
      </w:r>
      <w:r>
        <w:rPr>
          <w:rFonts w:ascii="Times New Roman" w:eastAsia="宋体" w:hAnsi="Times New Roman" w:cs="Times New Roman"/>
          <w:sz w:val="21"/>
          <w:szCs w:val="21"/>
        </w:rPr>
        <w:t>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3E32CD9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16．</w:t>
      </w:r>
      <w:r>
        <w:rPr>
          <w:rFonts w:ascii="Times New Roman" w:eastAsia="宋体" w:hAnsi="Times New Roman" w:cs="Times New Roman"/>
          <w:sz w:val="21"/>
          <w:szCs w:val="21"/>
        </w:rPr>
        <w:t>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平行</w:t>
            </w:r>
          </w:p>
        </w:tc>
      </w:tr>
    </w:tbl>
    <w:p w14:paraId="0F300502" w14:textId="77777777" w:rsidR="00823AFE" w:rsidRDefault="00000000">
      <w:pPr>
        <w:spacing w:after="0" w:line="288" w:lineRule="auto"/>
        <w:ind w:leftChars="200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2.2.4 </w:t>
      </w:r>
      <w:r>
        <w:rPr>
          <w:rFonts w:ascii="Times New Roman" w:eastAsia="宋体" w:hAnsi="Times New Roman" w:cs="Times New Roman"/>
          <w:b/>
          <w:sz w:val="24"/>
          <w:szCs w:val="24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17．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07593F6A" w14:textId="77777777" w:rsidR="00823AFE" w:rsidRDefault="00000000">
      <w:pPr>
        <w:spacing w:after="0" w:line="288" w:lineRule="auto"/>
        <w:ind w:leftChars="20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18．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圆的标准方程</w:t>
      </w:r>
    </w:p>
    <w:p w14:paraId="5AB5075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（1）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（2）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（3）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(x-a)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+(y-b)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=r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D27B102" w14:textId="77777777" w:rsidR="00823AFE" w:rsidRDefault="00000000">
      <w:pPr>
        <w:spacing w:after="0" w:line="288" w:lineRule="auto"/>
        <w:ind w:leftChars="20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19．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圆的一般方程的概念</w:t>
      </w:r>
    </w:p>
    <w:p w14:paraId="0E4B4E1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355B896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20．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圆的一般方程对应的圆心和半径</w:t>
      </w:r>
    </w:p>
    <w:p w14:paraId="13B20DB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E672F0F" w14:textId="77777777" w:rsidR="00823AFE" w:rsidRDefault="00000000">
      <w:pPr>
        <w:spacing w:after="0" w:line="288" w:lineRule="auto"/>
        <w:ind w:leftChars="20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21．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C39FA4A" w14:textId="77777777" w:rsidR="00823AFE" w:rsidRDefault="00000000">
      <w:pPr>
        <w:spacing w:after="0" w:line="288" w:lineRule="auto"/>
        <w:ind w:leftChars="200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2.3.4 </w:t>
      </w:r>
      <w:r>
        <w:rPr>
          <w:rFonts w:ascii="Times New Roman" w:eastAsia="宋体" w:hAnsi="Times New Roman" w:cs="Times New Roman"/>
          <w:b/>
          <w:sz w:val="24"/>
          <w:szCs w:val="24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圆与圆位置关系的判定</w:t>
      </w:r>
    </w:p>
    <w:p w14:paraId="09AF71A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（1）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（2）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>
      <w:pPr>
        <w:spacing w:after="0" w:line="288" w:lineRule="auto"/>
        <w:rPr>
          <w:sz w:val="24"/>
          <w:szCs w:val="24"/>
        </w:rPr>
      </w:pPr>
      <w:r>
        <w:rPr>
          <w:rFonts w:ascii="Times New Roman" w:eastAsia="宋体" w:hAnsi="Times New Roman" w:cs="Times New Roman"/>
          <w:b/>
          <w:shd w:val="clear" w:color="auto" w:fill="C9C9C9"/>
          <w:sz w:val="24"/>
          <w:szCs w:val="24"/>
          <w:lang w:eastAsia="zh-CN"/>
        </w:rPr>
        <w:t xml:space="preserve">2.4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 xml:space="preserve">曲线与方程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23．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曲线的方程与方程的曲线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(1)定义：在平面直角坐标系中，如果曲线C与方程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之间具有如下关系：①曲线C上的点的坐标都是方程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的解；②以方程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的解为坐标的点都在曲线C上，则称曲线C为方程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的曲线，方程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为曲线C的方程，记作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P(x,y)∈C⇔F(x,y)=0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(2)两条曲线的交点：曲线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F(x,y)=0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与曲线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G(x,y)=0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是否有交点及交点坐标的问题，可以转化为两条曲线的方程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联立组成的方程组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是否有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实数解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的问题，方程组的公共实数解就是交点坐标．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求动点的轨迹方程的一般步骤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设动点M的坐标为(x,y)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（如果没有平面直角坐标系，需先建立）；(2)写出动点M要满足的几何条件，并将该几何条件用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动点M的坐标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表示出来；(3)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化简并检验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所得方程是否为动点M的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轨迹方程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．曲线的方程也常称为满足某种条件的点的轨迹方程．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 w14:paraId="39816A7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 </w:t>
      </w:r>
      <w:r>
        <w:rPr>
          <w:rFonts w:ascii="Times New Roman" w:eastAsia="宋体" w:hAnsi="Times New Roman" w:cs="Times New Roman"/>
          <w:b/>
          <w:sz w:val="24"/>
          <w:szCs w:val="24"/>
        </w:rPr>
        <w:t>椭圆及其方程</w:t>
      </w:r>
    </w:p>
    <w:p w14:paraId="3F573819" w14:textId="77777777" w:rsidR="00823AFE" w:rsidRDefault="00000000">
      <w:pPr>
        <w:spacing w:after="0" w:line="288" w:lineRule="auto"/>
        <w:ind w:leftChars="20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25．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，即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|MF₁|+|MF₂|=2a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6B268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26．</w:t>
      </w:r>
      <w:r w:rsidRPr="007527AC">
        <w:rPr>
          <w:rFonts w:ascii="Times New Roman" w:eastAsia="宋体" w:hAnsi="Times New Roman" w:cs="Times New Roman"/>
          <w:sz w:val="21"/>
          <w:szCs w:val="21"/>
        </w:rPr>
        <w:t>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</w:t>
            </w:r>
          </w:p>
        </w:tc>
      </w:tr>
    </w:tbl>
    <w:p w14:paraId="37B8DB22" w14:textId="77777777" w:rsidR="00823AFE" w:rsidRDefault="00000000">
      <w:pPr>
        <w:spacing w:after="0" w:line="288" w:lineRule="auto"/>
        <w:ind w:leftChars="200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2.5.2 </w:t>
      </w:r>
      <w:r>
        <w:rPr>
          <w:rFonts w:ascii="Times New Roman" w:eastAsia="宋体" w:hAnsi="Times New Roman" w:cs="Times New Roman"/>
          <w:b/>
          <w:sz w:val="24"/>
          <w:szCs w:val="24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27．</w:t>
      </w:r>
      <w:r>
        <w:rPr>
          <w:rFonts w:ascii="Times New Roman" w:eastAsia="宋体" w:hAnsi="Times New Roman" w:cs="Times New Roman"/>
          <w:sz w:val="21"/>
          <w:szCs w:val="21"/>
        </w:rPr>
        <w:t>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&lt;1)</w:t>
            </w:r>
          </w:p>
        </w:tc>
      </w:tr>
    </w:tbl>
    <w:p w14:paraId="4807078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双曲线及其方程</w:t>
      </w:r>
    </w:p>
    <w:p w14:paraId="50B905B5" w14:textId="77777777" w:rsidR="00823AFE" w:rsidRDefault="00000000">
      <w:pPr>
        <w:spacing w:after="0" w:line="288" w:lineRule="auto"/>
        <w:ind w:leftChars="200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2.6.1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28．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B54573A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29．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</w:p>
        </w:tc>
      </w:tr>
    </w:tbl>
    <w:p w14:paraId="46BD111E" w14:textId="77777777" w:rsidR="00823AFE" w:rsidRDefault="00000000">
      <w:pPr>
        <w:spacing w:after="0" w:line="288" w:lineRule="auto"/>
        <w:ind w:leftChars="200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30．</w:t>
      </w:r>
      <w:r>
        <w:rPr>
          <w:rFonts w:ascii="Times New Roman" w:eastAsia="宋体" w:hAnsi="Times New Roman" w:cs="Times New Roman"/>
          <w:sz w:val="21"/>
          <w:szCs w:val="21"/>
        </w:rPr>
        <w:t>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</w:tr>
    </w:tbl>
    <w:p w14:paraId="0C715068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31．</w:t>
      </w:r>
      <w:r>
        <w:rPr>
          <w:rFonts w:ascii="Times New Roman" w:eastAsia="宋体" w:hAnsi="Times New Roman" w:cs="Times New Roman"/>
          <w:sz w:val="21"/>
          <w:szCs w:val="21"/>
        </w:rPr>
        <w:t>等轴双曲线</w:t>
      </w:r>
    </w:p>
    <w:p w14:paraId="72265582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753D7F7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抛物线及其方程</w:t>
      </w:r>
    </w:p>
    <w:p w14:paraId="169117BE" w14:textId="77777777" w:rsidR="00823AFE" w:rsidRDefault="00000000">
      <w:pPr>
        <w:spacing w:after="0" w:line="288" w:lineRule="auto"/>
        <w:ind w:leftChars="200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32．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抛物线的定义</w:t>
      </w:r>
    </w:p>
    <w:p w14:paraId="16859406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7842EC2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33．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【微思考】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垂直的直线</w:t>
      </w:r>
    </w:p>
    <w:p w14:paraId="20A9B425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lastRenderedPageBreak/>
        <w:t>34．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</w:tbl>
    <w:p w14:paraId="38CD51B5" w14:textId="77777777" w:rsidR="00823AFE" w:rsidRDefault="00000000">
      <w:pPr>
        <w:spacing w:after="0" w:line="288" w:lineRule="auto"/>
        <w:ind w:leftChars="200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2.7.2 </w:t>
      </w:r>
      <w:r>
        <w:rPr>
          <w:rFonts w:ascii="Times New Roman" w:eastAsia="宋体" w:hAnsi="Times New Roman" w:cs="Times New Roman"/>
          <w:b/>
          <w:sz w:val="24"/>
          <w:szCs w:val="24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35．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e=1</w:t>
            </w:r>
          </w:p>
        </w:tc>
      </w:tr>
    </w:tbl>
    <w:p w14:paraId="0184951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36．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&lt;0</w:t>
            </w:r>
          </w:p>
        </w:tc>
      </w:tr>
    </w:tbl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37．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圆锥曲线的弦与弦长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(1)定义：直线与圆锥曲线有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两个公共点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时，以这两个公共点为端点的线段称为圆锥曲线的一条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弦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，线段的长就是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弦长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；简单地说，圆锥曲线的弦就是连接圆锥曲线上任意两点所得的线段．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(2)弦长计算：设弦端点为A(x₁,y₁)，B(x₂,y₂)，则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|AB|=√((x₁-x₂)²+(y₁-y₂)²)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；求弦长常用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「设而不求」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的方法：联立直线与曲线的方程，消元后用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韦达定理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整体处理x₁+x₂与x₁x₂．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38．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直线与圆锥曲线位置关系的判定与相切的辨析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(1)判定方法：判断直线与椭圆、双曲线、抛物线的位置关系，都是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联立直线与曲线的方程得到方程组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方程组的实数解的个数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（即公共点个数）来判定；消元后得一元二次方程的，用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判别式Δ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判定．</w:t>
      </w:r>
    </w:p>
    <w:p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(2)相切辨析：直线与圆、直线与椭圆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只有一个公共点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是直线与它们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相切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充要条件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；但直线与双曲线、直线与抛物线只有一个公共点不是直线与它们相切的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 xml:space="preserve">充分条件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</w:p>
    <w:sectPr w:rsidR="00823AFE" w:rsidSect="00034616">
      <w:headerReference w:type="default" r:id="rId43"/>
      <w:footerReference w:type="default" r:id="rId40"/>
      <w:pgSz w:w="11906" w:h="16838"/>
      <w:pgMar w:top="850" w:right="850" w:bottom="850" w:left="850" w:header="283" w:footer="850" w:gutter="0"/>
      <w:pgNumType w:start="14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全册第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148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 xml:space="preserve">/365页</w:t>
    </w:r>
    <w:r>
      <w:rPr>
        <w:rFonts w:ascii="Times New Roman" w:hAnsi="Times New Roman" w:eastAsia="宋体" w:cs="Times New Roman"/>
        <w:sz w:val="21"/>
        <w:szCs w:val="21"/>
      </w:rPr>
      <w:t xml:space="preserve">　</w:t>
    </w:r>
    <w:r>
      <w:rPr>
        <w:rFonts w:ascii="Times New Roman" w:hAnsi="Times New Roman" w:eastAsia="宋体" w:cs="Times New Roman"/>
        <w:sz w:val="21"/>
        <w:szCs w:val="21"/>
      </w:rPr>
      <w:t xml:space="preserve">第2章·清单</w:t>
    </w:r>
    <w:r>
      <w:rPr>
        <w:rFonts w:ascii="Times New Roman" w:hAnsi="Times New Roman" w:eastAsia="宋体" w:cs="Times New Roman"/>
        <w:sz w:val="21"/>
        <w:szCs w:val="21"/>
      </w:rPr>
      <w:t xml:space="preserve">（位于148–158页·共11页）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第2章 平面解析几何·清单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