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r>
        <w:rPr>
          <w:b/>
          <w:bCs/>
          <w:shd w:val="clear" w:color="auto" w:fill="C9C9C9"/>
          <w:sz w:val="24"/>
          <w:szCs w:val="24"/>
        </w:rPr>
        <w:t>1.2.1</w:t>
      </w:r>
      <w:r>
        <w:rPr>
          <w:b/>
          <w:sz w:val="24"/>
          <w:szCs w:val="24"/>
        </w:rPr>
        <w:t xml:space="preserve">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t>1</w:t>
      </w:r>
      <w:r>
        <w:t>．平行线分线段成比例定理</w:t>
      </w:r>
    </w:p>
    <w:p w14:paraId="0D525764" w14:textId="77777777" w:rsidR="00EF035E" w:rsidRPr="00043B54" w:rsidRDefault="00000000">
      <w:pPr>
        <w:jc w:val="left"/>
      </w:pPr>
      <w: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t>2</w:t>
      </w:r>
      <w:r>
        <w:t>．相似</w:t>
      </w:r>
    </w:p>
    <w:p w14:paraId="4952DA68" w14:textId="77777777" w:rsidR="00EF035E" w:rsidRPr="00043B54" w:rsidRDefault="00000000">
      <w:pPr>
        <w:jc w:val="left"/>
      </w:pPr>
      <w:r>
        <w:t xml:space="preserve">(1)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t xml:space="preserve">(2)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t xml:space="preserve">(1)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t xml:space="preserve">(2)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t xml:space="preserve">(3)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t>4</w:t>
      </w:r>
      <w:r>
        <w:t>．三角形内角和外角平分线定理</w:t>
      </w:r>
    </w:p>
    <w:p w14:paraId="1DA30B40" w14:textId="77777777" w:rsidR="00EF035E" w:rsidRPr="00043B54" w:rsidRDefault="00000000">
      <w:pPr>
        <w:jc w:val="left"/>
      </w:pPr>
      <w: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r>
        <w:rPr>
          <w:b/>
          <w:sz w:val="21"/>
          <w:szCs w:val="21"/>
        </w:rPr>
        <w:t xml:space="preserve">1.2.1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r>
        <w:rPr>
          <w:b/>
          <w:sz w:val="21"/>
          <w:szCs w:val="21"/>
        </w:rPr>
        <w:t xml:space="preserve">1.2.1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r>
        <w:rPr>
          <w:b/>
          <w:sz w:val="21"/>
          <w:szCs w:val="21"/>
        </w:rPr>
        <w:t xml:space="preserve">1.2.1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w:t>
      </w:r>
      <w:r>
        <w:t xml:space="preserve"> </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r>
        <w:rPr>
          <w:b/>
          <w:bCs/>
          <w:shd w:val="clear" w:color="auto" w:fill="C9C9C9"/>
          <w:sz w:val="24"/>
          <w:szCs w:val="24"/>
        </w:rPr>
        <w:t>1.2.5</w:t>
      </w:r>
      <w:r>
        <w:rPr>
          <w:b/>
          <w:sz w:val="24"/>
          <w:szCs w:val="24"/>
        </w:rPr>
        <w:t xml:space="preserve">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t>1</w:t>
      </w:r>
      <w:r>
        <w:t>．三角形的重心</w:t>
      </w:r>
    </w:p>
    <w:p w14:paraId="0127574D" w14:textId="77777777" w:rsidR="00EF035E" w:rsidRPr="00043B54" w:rsidRDefault="00000000">
      <w:pPr>
        <w:jc w:val="left"/>
      </w:pPr>
      <w:r>
        <w:t>（</w:t>
      </w:r>
      <w: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t>（</w:t>
      </w:r>
      <w: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t>2</w:t>
      </w:r>
      <w:r>
        <w:t>．三角形的内心</w:t>
      </w:r>
    </w:p>
    <w:p w14:paraId="306EF510" w14:textId="77777777" w:rsidR="00EF035E" w:rsidRPr="00043B54" w:rsidRDefault="00000000">
      <w:pPr>
        <w:jc w:val="left"/>
      </w:pPr>
      <w:r>
        <w:t>（</w:t>
      </w:r>
      <w: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t>（</w:t>
      </w:r>
      <w: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t>3</w:t>
      </w:r>
      <w:r>
        <w:t>．三角形的垂心</w:t>
      </w:r>
    </w:p>
    <w:p w14:paraId="6E977B07" w14:textId="77777777" w:rsidR="00EF035E" w:rsidRPr="00043B54" w:rsidRDefault="00000000">
      <w:pPr>
        <w:jc w:val="left"/>
      </w:pPr>
      <w:r>
        <w:t>（</w:t>
      </w:r>
      <w: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t>（</w:t>
      </w:r>
      <w: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t>4</w:t>
      </w:r>
      <w:r>
        <w:t>．三角形的外心</w:t>
      </w:r>
    </w:p>
    <w:p w14:paraId="222A0A0E" w14:textId="77777777" w:rsidR="00EF035E" w:rsidRPr="00043B54" w:rsidRDefault="00000000">
      <w:pPr>
        <w:jc w:val="left"/>
      </w:pPr>
      <w:r>
        <w:t>（</w:t>
      </w:r>
      <w: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t>（</w:t>
      </w:r>
      <w: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t>5</w:t>
      </w:r>
      <w:r>
        <w:t>．拓展</w:t>
      </w:r>
    </w:p>
    <w:p w14:paraId="5A250540" w14:textId="77777777" w:rsidR="00EF035E" w:rsidRPr="00043B54" w:rsidRDefault="00000000">
      <w:pPr>
        <w:jc w:val="left"/>
      </w:pPr>
      <w:r>
        <w:t>（</w:t>
      </w:r>
      <w: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t>（</w:t>
      </w:r>
      <w:r>
        <w:t>2</w:t>
      </w:r>
      <w:r>
        <w:t>）正三角形三条边长相等，三个角相等，且四心（内心、重心、垂心、外心）合一，该点称为正三角形的中心</w:t>
      </w:r>
      <w:r>
        <w:t>.</w:t>
      </w:r>
    </w:p>
    <w:p w14:paraId="1E7FD55D" w14:textId="77777777" w:rsidR="002205AB" w:rsidRDefault="00000000">
      <w:r>
        <w:rPr>
          <w:b/>
          <w:sz w:val="21"/>
          <w:szCs w:val="21"/>
        </w:rPr>
        <w:t xml:space="preserve">1.2.5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r>
        <w:rPr>
          <w:b/>
          <w:sz w:val="21"/>
          <w:szCs w:val="21"/>
        </w:rPr>
        <w:t xml:space="preserve">1.2.5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w:t>
      </w:r>
      <w:r>
        <w:rPr/>
        <w:t xml:space="preserve"> </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176D4" w14:textId="77777777" w:rsidR="002205AB" w:rsidRDefault="00000000">
    <w:pPr>
      <w:jc w:val="left"/>
    </w:pPr>
    <w:r>
      <w:t>第</w:t>
    </w:r>
    <w:r>
      <w:t>1</w:t>
    </w:r>
    <w:r>
      <w:t>章</w:t>
    </w:r>
    <w:r>
      <w:t>·</w:t>
    </w:r>
    <w:r>
      <w:t>衔接　第</w:t>
    </w:r>
    <w:r>
      <w:fldChar w:fldCharType="begin"/>
    </w:r>
    <w:r>
      <w:instrText xml:space="preserve"> PAGE </w:instrText>
    </w:r>
    <w:r>
      <w:fldChar w:fldCharType="separate"/>
    </w:r>
    <w:r>
      <w:t>1</w:t>
    </w:r>
    <w:r>
      <w:fldChar w:fldCharType="end"/>
    </w:r>
    <w:r>
      <w:t>页（全册共</w:t>
    </w:r>
    <w:r>
      <w:rPr>
        <w:rFonts w:ascii="Times New Roman" w:hAnsi="Times New Roman" w:eastAsia="宋体" w:cs="Times New Roman"/>
        <w:sz w:val="21"/>
        <w:szCs w:val="21"/>
      </w:rPr>
      <w:t>358</w:t>
    </w:r>
    <w:r>
      <w:t>页）</w:t>
    </w:r>
    <w:r>
      <w:rPr>
        <w:rFonts w:ascii="Times New Roman" w:hAnsi="Times New Roman" w:eastAsia="宋体" w:cs="Times New Roman"/>
        <w:sz w:val="21"/>
        <w:szCs w:val="21"/>
      </w:rPr>
      <w:t>·本部位于第1–15页（共15页）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lang w:val="en-US" w:eastAsia="zh-CN"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