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第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3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章</w:t>
      </w:r>
      <w:r>
        <w:rPr>
          <w:szCs w:val="21"/>
          <w:bdr w:val="single" w:sz="8" w:space="0" w:color="auto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·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．直流：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．中性面：与磁场方向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．正弦式交变电流：按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bdr w:val="single" w:sz="8" w:space="0" w:color="auto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bdr w:val="single" w:sz="8" w:space="0" w:color="auto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szCs w:val="21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16</w:t>
      </w:r>
      <w:r>
        <w:rPr>
          <w:rFonts w:ascii="Times New Roman" w:hAnsi="Times New Roman" w:eastAsia="宋体" w:cs="Times New Roman"/>
          <w:szCs w:val="21"/>
          <w:sz w:val="21"/>
        </w:rPr>
        <w:t>．电网：通过网状的输电线、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Δ</m:t>
        </m:r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P=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-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sSup>
          <m:sSupPr>
            <m:ctrlPr>
              <w:rPr>
                <w:rFonts w:ascii="Cambria Math" w:hAnsi="Cambria Math"/>
                <w:bdr w:val="single" w:sz="8" w:space="0" w:color="auto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Δ</m:t>
        </m:r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U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η=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×100</m:t>
        </m:r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