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Bdr>
          <w:bottom w:val="single" w:sz="4" w:space="1" w:color="auto"/>
        </w:pBdr>
        <w:shd w:val="clear" w:color="auto" w:fill="ADC2DA"/>
        <w:spacing w:before="0" w:after="0" w:line="410" w:lineRule="atLeast"/>
        <w:jc w:val="left"/>
      </w:pPr>
      <w:r>
        <w:rPr>
          <w:rFonts w:ascii="Times New Roman" w:hAnsi="Times New Roman" w:eastAsia="宋体" w:cs="Times New Roman"/>
          <w:b/>
          <w:bCs/>
          <w:sz w:val="32"/>
          <w:szCs w:val="32"/>
        </w:rPr>
        <w:t xml:space="preserve">人教B版选必1·使用说明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视觉锚图例（式样＝本册现行版式真实呈现）</w:t>
      </w:r>
    </w:p>
    <w:p>
      <w:pPr>
        <w:spacing w:before="0" w:after="0" w:line="410" w:lineRule="atLeast"/>
        <w:jc w:val="left"/>
      </w:pPr>
      <w:r>
        <w:rPr>
          <w:rFonts w:ascii="Times New Roman" w:hAnsi="Times New Roman" w:eastAsia="宋体" w:cs="Times New Roman"/>
          <w:b/>
          <w:bCs/>
          <w:sz w:val="24"/>
          <w:szCs w:val="24"/>
          <w:shd w:val="clear" w:color="auto" w:fill="C9C9C9"/>
        </w:rPr>
        <w:t xml:space="preserve">1．</w:t>
      </w:r>
      <w:r>
        <w:rPr>
          <w:rFonts w:ascii="Times New Roman" w:hAnsi="Times New Roman" w:eastAsia="宋体" w:cs="Times New Roman"/>
          <w:b/>
          <w:bCs/>
          <w:sz w:val="24"/>
          <w:szCs w:val="24"/>
        </w:rPr>
        <w:t xml:space="preserve">（简单·保60%·卡壳看答案）</w:t>
      </w:r>
      <w:r>
        <w:rPr>
          <w:rFonts w:ascii="Times New Roman" w:hAnsi="Times New Roman" w:eastAsia="宋体" w:cs="Times New Roman"/>
          <w:sz w:val="18"/>
          <w:szCs w:val="18"/>
        </w:rPr>
        <w:t xml:space="preserve">　题号块（N6）：底纹只盖「N．」本身、括注不挂底纹、整块加粗；题与题之间不留空行，靠它分隔。衔接件不区分难度、全部必会——两段式「N．（衔接必会·卡壳看答案）」。</w:t>
      </w:r>
    </w:p>
    <w:p>
      <w:pPr>
        <w:shd w:val="clear" w:color="auto" w:fill="ADC2DA"/>
        <w:spacing w:before="0" w:after="0" w:line="410" w:lineRule="atLeast"/>
        <w:jc w:val="left"/>
      </w:pPr>
      <w:r>
        <w:rPr>
          <w:rFonts w:ascii="Times New Roman" w:hAnsi="Times New Roman" w:eastAsia="宋体" w:cs="Times New Roman"/>
          <w:b/>
          <w:bCs/>
          <w:sz w:val="28"/>
          <w:szCs w:val="28"/>
        </w:rPr>
        <w:t xml:space="preserve">1.1 空间向量及其运算</w:t>
      </w:r>
      <w:r>
        <w:rPr>
          <w:rFonts w:ascii="Times New Roman" w:hAnsi="Times New Roman" w:eastAsia="宋体" w:cs="Times New Roman"/>
          <w:sz w:val="18"/>
          <w:szCs w:val="18"/>
        </w:rPr>
        <w:t xml:space="preserve">　章标题与节标题：整行铺底#ADC2DA＋加粗＋顶格（章三号／节四号），章标题另加底边框通栏细线（N4/N5）。</w:t>
      </w:r>
    </w:p>
    <w:p>
      <w:pPr>
        <w:shd w:val="clear" w:color="auto" w:fill="C6D4E3"/>
        <w:spacing w:before="0" w:after="0" w:line="410" w:lineRule="atLeast"/>
        <w:jc w:val="left"/>
      </w:pPr>
      <w:r>
        <w:rPr>
          <w:rFonts w:ascii="Times New Roman" w:hAnsi="Times New Roman" w:eastAsia="宋体" w:cs="Times New Roman"/>
          <w:b/>
          <w:bCs/>
          <w:sz w:val="24"/>
          <w:szCs w:val="24"/>
        </w:rPr>
        <w:t xml:space="preserve">1.1.1.1 节名：题型名</w:t>
      </w:r>
      <w:r>
        <w:rPr>
          <w:rFonts w:ascii="Times New Roman" w:hAnsi="Times New Roman" w:eastAsia="宋体" w:cs="Times New Roman"/>
          <w:sz w:val="18"/>
          <w:szCs w:val="18"/>
        </w:rPr>
        <w:t xml:space="preserve">　讲部标题与题型标题：整行铺底#C6D4E3＋加粗＋顶格（均小四，层级靠父链续层序号与底纹色表达）（N4/N5）。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【答案】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color w:val="1F4E79"/>
          <w:sz w:val="18"/>
          <w:szCs w:val="18"/>
          <w:shd w:val="clear" w:color="auto" w:fill="C9C9C9"/>
        </w:rPr>
        <w:t xml:space="preserve">C</w:t>
      </w:r>
      <w:r>
        <w:rPr>
          <w:rFonts w:ascii="Times New Roman" w:hAnsi="Times New Roman" w:eastAsia="宋体" w:cs="Times New Roman"/>
          <w:sz w:val="18"/>
          <w:szCs w:val="18"/>
        </w:rPr>
        <w:t xml:space="preserve">　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【知识点】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</w:rPr>
        <w:t xml:space="preserve">1.1.1 空间向量的概念</w:t>
      </w:r>
      <w:r>
        <w:rPr>
          <w:rFonts w:ascii="Times New Roman" w:hAnsi="Times New Roman" w:eastAsia="宋体" w:cs="Times New Roman"/>
          <w:sz w:val="18"/>
          <w:szCs w:val="18"/>
        </w:rPr>
        <w:t xml:space="preserve">　答案值标记（N7）：【答案】后的值挂灰底＋深蓝#1F4E79字；需背内容同款灰底＋深蓝。块标签芯片（【答案】【知识点】等）只盖【×】、不加粗、黑字。</w:t>
      </w:r>
    </w:p>
    <w:p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定理框（N23）：定理/公式级需背条目整段加细框（本段即式样），框内需背内容挂灰底＋深蓝——如「</w:t>
      </w:r>
      <w:r>
        <w:rPr>
          <w:rFonts w:ascii="Times New Roman" w:hAnsi="Times New Roman" w:eastAsia="宋体" w:cs="Times New Roman"/>
          <w:color w:val="1F4E79"/>
          <w:sz w:val="18"/>
          <w:szCs w:val="18"/>
          <w:shd w:val="clear" w:color="auto" w:fill="C9C9C9"/>
        </w:rPr>
        <w:t xml:space="preserve">充要条件</w:t>
      </w:r>
      <w:r>
        <w:rPr>
          <w:rFonts w:ascii="Times New Roman" w:hAnsi="Times New Roman" w:eastAsia="宋体" w:cs="Times New Roman"/>
          <w:sz w:val="18"/>
          <w:szCs w:val="18"/>
        </w:rPr>
        <w:t xml:space="preserve">」与「</w:t>
      </w:r>
      <w:r>
        <w:rPr>
          <w:rFonts w:ascii="Times New Roman" w:hAnsi="Times New Roman" w:eastAsia="宋体" w:cs="Times New Roman"/>
          <w:color w:val="1F4E79"/>
          <w:sz w:val="18"/>
          <w:szCs w:val="18"/>
          <w:shd w:val="clear" w:color="auto" w:fill="C9C9C9"/>
        </w:rPr>
        <w:t xml:space="preserve">存在唯一</w:t>
      </w:r>
      <w:r>
        <w:rPr>
          <w:rFonts w:ascii="Times New Roman" w:hAnsi="Times New Roman" w:eastAsia="宋体" w:cs="Times New Roman"/>
          <w:sz w:val="18"/>
          <w:szCs w:val="18"/>
        </w:rPr>
        <w:t xml:space="preserve">」二词式样；普通需背词只挂灰底不加框。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【答案】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【知识点】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【分析】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【详解】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【点睛】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【编注】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【大招指引】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【题后反思】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【温馨提醒】</w:t>
      </w:r>
      <w:r>
        <w:rPr>
          <w:rFonts w:ascii="Times New Roman" w:hAnsi="Times New Roman" w:eastAsia="宋体" w:cs="Times New Roman"/>
          <w:sz w:val="18"/>
          <w:szCs w:val="18"/>
        </w:rPr>
        <w:t xml:space="preserve"> </w:t>
      </w:r>
      <w:r>
        <w:rPr>
          <w:rFonts w:ascii="Times New Roman" w:hAnsi="Times New Roman" w:eastAsia="宋体" w:cs="Times New Roman"/>
          <w:sz w:val="18"/>
          <w:szCs w:val="18"/>
        </w:rPr>
        <w:t xml:space="preserve">块标签芯片：凡行内【×】栏目标签挂同款灰底、不加粗、只盖标签本身；【编注】开头＝编者补写的思路提示或通法，不是素材原文。</w:t>
      </w:r>
    </w:p>
    <w:p>
      <w:pPr>
        <w:spacing w:before="0" w:after="0" w:line="410" w:lineRule="atLeast"/>
        <w:jc w:val="left"/>
      </w:pPr>
      <w:r>
        <w:rPr>
          <w:rFonts w:ascii="Times New Roman" w:hAnsi="Times New Roman" w:eastAsia="宋体" w:cs="Times New Roman"/>
          <w:sz w:val="24"/>
          <w:szCs w:val="24"/>
          <w:shd w:val="clear" w:color="auto" w:fill="C9C9C9"/>
        </w:rPr>
        <w:t xml:space="preserve">1．</w:t>
      </w:r>
      <w:r>
        <w:rPr>
          <w:rFonts w:ascii="Times New Roman" w:hAnsi="Times New Roman" w:eastAsia="宋体" w:cs="Times New Roman"/>
          <w:sz w:val="24"/>
          <w:szCs w:val="24"/>
        </w:rPr>
        <w:t xml:space="preserve">〔基〕条目题名</w:t>
      </w:r>
      <w:r>
        <w:rPr>
          <w:rFonts w:ascii="Times New Roman" w:hAnsi="Times New Roman" w:eastAsia="宋体" w:cs="Times New Roman"/>
          <w:sz w:val="24"/>
          <w:szCs w:val="24"/>
        </w:rPr>
        <w:t xml:space="preserve">　</w:t>
      </w:r>
      <w:r>
        <w:rPr>
          <w:rFonts w:ascii="Times New Roman" w:hAnsi="Times New Roman" w:eastAsia="宋体" w:cs="Times New Roman"/>
          <w:sz w:val="24"/>
          <w:szCs w:val="24"/>
          <w:shd w:val="clear" w:color="auto" w:fill="C9C9C9"/>
        </w:rPr>
        <w:t xml:space="preserve">（1）</w:t>
      </w:r>
      <w:r>
        <w:rPr>
          <w:rFonts w:ascii="Times New Roman" w:hAnsi="Times New Roman" w:eastAsia="宋体" w:cs="Times New Roman"/>
          <w:sz w:val="24"/>
          <w:szCs w:val="24"/>
        </w:rPr>
        <w:t xml:space="preserve">第一子层内容</w:t>
      </w:r>
      <w:r>
        <w:rPr>
          <w:rFonts w:ascii="Times New Roman" w:hAnsi="Times New Roman" w:eastAsia="宋体" w:cs="Times New Roman"/>
          <w:sz w:val="18"/>
          <w:szCs w:val="18"/>
        </w:rPr>
        <w:t xml:space="preserve">　条目号与条目第一子层：条目号「N．」与第一子层「（N）」同款灰底、不加粗、只盖序号本身；〔基〕/〔进〕分类标记不挂底纹；第二子层①②③不挂。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〔基〕/〔进〕图例句（知识清单件文内开头标题正下方，逐字照抄——N16）：</w:t>
      </w:r>
      <w:r>
        <w:rPr>
          <w:rFonts w:ascii="Times New Roman" w:hAnsi="Times New Roman" w:eastAsia="宋体" w:cs="Times New Roman"/>
          <w:sz w:val="18"/>
          <w:szCs w:val="18"/>
        </w:rPr>
        <w:t xml:space="preserve">〔基〕＝基础必会：必须学完本条目，才能做本章题目｜〔进〕＝进阶汇总：本章各题型常识/结论的汇总，方便复习，必须先做题再回看</w:t>
      </w:r>
    </w:p>
    <w:p>
      <w:pPr>
        <w:spacing w:before="0" w:after="0" w:line="410" w:lineRule="atLeast"/>
        <w:jc w:val="left"/>
      </w:pPr>
      <w:r>
        <w:rPr>
          <w:rFonts w:ascii="Times New Roman" w:hAnsi="Times New Roman" w:eastAsia="宋体" w:cs="Times New Roman"/>
          <w:sz w:val="24"/>
          <w:szCs w:val="24"/>
        </w:rPr>
        <w:t xml:space="preserve">正档案例试字：题干与选项等学生精读内容＝小4号12pt；</w:t>
      </w:r>
      <w:r>
        <w:rPr>
          <w:rFonts w:ascii="Times New Roman" w:hAnsi="Times New Roman" w:eastAsia="宋体" w:cs="Times New Roman"/>
          <w:sz w:val="18"/>
          <w:szCs w:val="18"/>
        </w:rPr>
        <w:t xml:space="preserve">解析案例试字：【答案】【详解】【编注】等＝小5号9pt——字号双档制（N1，本图例区按§11豁免双档硬约束真实呈现式样）。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难度三档与建议学习路径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简单：单一知识点直接套用、一两步即可完成；简单档具备本章高考约60%分数目标所需的基本能力。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中档：常规解法需多步转化，或跨一两个知识点的常规组合；简单＋中档合计具备本章高考约80%分数目标所需的能力。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难：只收特别难的题（含原卷压轴），具备本章冲击满分所需的全部能力；名难实易的题一律放简单或中档。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提分线三形态：简单·保60%／中档·保80%／难·冲100%。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答案用法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  <w:shd w:val="clear" w:color="auto" w:fill="C9C9C9"/>
        </w:rPr>
        <w:t xml:space="preserve">每题先独立读题动手，卡壳超过10分钟立即看答案学方法、不死磕；看懂后遮住答案重做一遍，隔天重做仍错的题记入错题记录表。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b/>
          <w:bCs/>
          <w:sz w:val="18"/>
          <w:szCs w:val="18"/>
        </w:rPr>
        <w:t xml:space="preserve">本册件型用法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衔接件（仅与初中有映照的章配备）：不区分难度、全部必会——题号块「N．（衔接必会·卡壳看答案）」；只考「初中已学＋本章以前」的铺垫题，学本章之前先自测，卡壳处回补后再进本章。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知识清单：本章全部知识条目按教材节归类，条目逐条标〔基〕/〔进〕——基＝教材正文必会，必须先学完才能做本章题；进＝本章各题型常识/结论汇总，先做题再回看。件开头有章知识结构图，先看图定位、再逐条过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讲练件（每章一件，分卷题号连续）：本册核心件；讲部分（知识讲解＋例题）排在对应题型组之前，题目按教材节×题型分组、组内由易到难，题号后即难度档位；节标题行内附题量统计，章首有导航表与全件统计行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错题记录件（每章一件，装订在该章讲练本末尾）：三列空行自填表「题号｜错因｜重做日期」，题号由自己填写，错因可参考示例行「知识不会／方法没想到／计算错／审题错」，重做日期用于跟踪回炉；错题多者复印加页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部分封面件：每个部分（同章同类型件的全部文件）一张，随该部分首件装订，封面上的统计与导读即该部分的总账。装订组合方案（N10）：方案A＝整册装订（配页三件＋各部分各带部分封面）；方案B＝按件型抽订（如全部知识清单、全部讲练）；方案C＝错题集抽订（各章错题记录件按章序）。</w:t>
      </w:r>
    </w:p>
    <w:p>
      <w:pPr>
        <w:spacing w:before="0" w:after="0" w:line="280" w:lineRule="atLeast"/>
        <w:jc w:val="left"/>
      </w:pPr>
      <w:r>
        <w:rPr>
          <w:rFonts w:ascii="Times New Roman" w:hAnsi="Times New Roman" w:eastAsia="宋体" w:cs="Times New Roman"/>
          <w:sz w:val="18"/>
          <w:szCs w:val="18"/>
        </w:rPr>
        <w:t xml:space="preserve">分本用法：本册按「每部分一个物理本」分本装订（本划分见装订单「本」列，与页码体系无关）；单本实测超400页时沿件边界二次拆分、不另配封面与册目录页，靠页眉页脚件标识识别。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updateFields w:val="true"/>
  <w:zoom w:percent="100"/>
  <w:defaultTabStop w:val="4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18"/>
        <w:szCs w:val="18"/>
      </w:rPr>
    </w:rPrDefault>
    <w:pPrDefault>
      <w:pPr>
        <w:spacing w:before="0" w:after="0" w:line="280" w:lineRule="atLeast"/>
        <w:jc w:val="left"/>
      </w:pPr>
    </w:pPrDefault>
  </w:docDefaults>
  <w:style w:type="paragraph" w:default="1" w:styleId="Normal">
    <w:name w:val="Normal"/>
    <w:qFormat/>
    <w:pPr>
      <w:spacing w:before="0" w:after="0" w:line="280" w:lineRule="atLeast"/>
      <w:jc w:val="left"/>
    </w:pPr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/vnd.openxmlformats-officedocument.vml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人教B版选必1·使用说明</dc:title>
  <dc:creator/>
  <cp:lastModifiedBy/>
  <dcterms:created xsi:type="dcterms:W3CDTF">2026-08-31T00:00:00Z</dcterms:created>
  <dcterms:modified xsi:type="dcterms:W3CDTF">2026-08-31T00:00:00Z</dcterms:modified>
</cp:coreProperties>
</file>