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，电荷量为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（1）求电子的动能；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电子的动能为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（2）电子绕核一个周期通过截面的电荷量为e，则有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，元电荷为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，所以金属棒中电荷量为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全部通过某一横截面所用时间为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根据电流的定义式，得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A．白炽灯的电阻随电压的增大而减小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点白炽灯的电阻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计算电阻值，故BD错误；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，厚度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有一定的电阻，但阻值未知。实验器材如下：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待测金属导线一根；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电压表一个，量程0~3V，内阻约为3kΩ；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电流表一个，量程0~0.6A，内阻约为0.1Ω；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（阻值范围0~10Ω，允许通过的最大电流为0.1A）；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（阻值范围0~20Ω，允许通过的最大电流为1A）；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端（选填“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”或“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（选填“偏大”“偏小”或“无影响”）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，由图丙可知导线的直径为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（4）根据电阻定律可动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可得该金属材料的电阻率为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可知根据实验数据求出的该金属材料的电阻率比真实值偏小。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，导线若干。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回答以下问题：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掷到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（填“1”或“2”）端；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（填“大于”或“小于”）Y型号铅笔芯的电阻率。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掷到1端；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  <w:szCs w:val="21"/>
        </w:rPr>
        <w:t>I-U</w:t>
      </w:r>
      <w:r>
        <w:rPr>
          <w:rFonts w:ascii="Times New Roman" w:hAnsi="Times New Roman" w:eastAsia="宋体" w:cs="Times New Roman"/>
          <w:sz w:val="21"/>
          <w:szCs w:val="21"/>
        </w:rPr>
        <w:t>图像，结合欧姆定律有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又因为接入电路的两铅笔芯长度相等，且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的电流为2.5A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并联，其等效电阻为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两端，则干路上的电流为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均在干路上，则电流均为3A，故AB错误；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并联，根据并联电压相等分流规律可知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串联接在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的两端，则电压表的示数将（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A．小于4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C．大于4 V而小于8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D．大于8 V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【详解】电压表接在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两端，电压表的示数8V，则此时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两端的电压为4V；把此表改接在两端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时，由于电压表的内阻不是远大于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并联的阻值小于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，分压值也减小，而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与并联部分串联，总电压</w:t>
      </w:r>
      <w:r>
        <w:rPr>
          <w:rFonts w:ascii="Times New Roman" w:hAnsi="Times New Roman" w:eastAsia="宋体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=12V，则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的电压大于8V，电压表与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并联电路的电压小于4V。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A．微安表串联电阻偏大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C．微安表并联电阻偏大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D．微安表并联电阻偏小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阻值偏小，分流过大。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两端的电压从零开始调节。他可选用的器材有：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②在如图的虚线框内画出你设计的实验电路图___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2A）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1A）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H. 电键、导线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；②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，电路最大电流为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则电流表可选A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。电压从零开始，滑动变阻器应采用分压接法，由于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②[4]实验电路图如图所示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的铜导线的长度，实验小组设计方案如下：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等表示）。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</w:t>
      </w:r>
      <w:r>
        <w:rPr>
          <w:rFonts w:ascii="Times New Roman" w:hAnsi="Times New Roman" w:eastAsia="宋体" w:cs="Times New Roman"/>
          <w:sz w:val="21"/>
          <w:szCs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rFonts w:ascii="Times New Roman" w:hAnsi="Times New Roman" w:eastAsia="宋体" w:cs="Times New Roman"/>
          <w:sz w:val="21"/>
          <w:szCs w:val="21"/>
        </w:rPr>
        <w:t>（1.697mm、1.698mm）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利用电阻替代法可得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解得铜导线长度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13．在“练习使用多用电表”的实验中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所示。请据此完成记录表中的①和②；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rFonts w:ascii="Times New Roman" w:hAnsi="Times New Roman" w:eastAsia="宋体" w:cs="Times New Roman"/>
          <w:sz w:val="21"/>
          <w:szCs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”）挡进行重新测量；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（选填“需要”“不需要”）重新调零。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第11章·中档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