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列联表与独立性检验</w:t>
      </w:r>
    </w:p>
    <w:p w:rsidR="00EF035E" w:rsidRPr="00043B54">
      <w:pPr>
        <w:shd w:val="clear" w:color="auto" w:fill="auto"/>
        <w:spacing w:line="360" w:lineRule="auto"/>
        <w:jc w:val="left"/>
      </w:pPr>
      <w:r>
        <w:rPr>
          <w:b/>
          <w:sz w:val="24"/>
        </w:rPr>
        <w:t>一、分类变量与列联表</w:t>
      </w:r>
    </w:p>
    <w:p w:rsidR="00EF035E" w:rsidRPr="00043B54">
      <w:pPr>
        <w:shd w:val="clear" w:color="auto" w:fill="auto"/>
        <w:spacing w:line="360" w:lineRule="auto"/>
        <w:jc w:val="left"/>
      </w:pPr>
      <w:r>
        <w:rPr>
          <w:b/>
          <w:sz w:val="24"/>
        </w:rPr>
        <w:t>（一）完善列联表</w:t>
      </w:r>
    </w:p>
    <w:p>
      <w:pPr>
        <w:shd w:val="clear" w:color="auto" w:fill="auto"/>
        <w:spacing w:line="360" w:lineRule="auto"/>
        <w:jc w:val="left"/>
        <w:rPr>
          <w:sz w:val="21"/>
        </w:rPr>
      </w:pPr>
      <w:r>
        <w:rPr>
          <w:sz w:val="21"/>
        </w:rPr>
        <w:t>1．下面是一个2×2列联表：</w:t>
      </w:r>
    </w:p>
    <w:tbl>
      <w:tblPr>
        <w:tblStyle w:val="TableNormal"/>
        <w:tblW w:w="4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7"/>
        <w:gridCol w:w="1220"/>
        <w:gridCol w:w="1220"/>
        <w:gridCol w:w="1267"/>
      </w:tblGrid>
      <w:tr>
        <w:tblPrEx>
          <w:tblW w:w="4995" w:type="dxa"/>
        </w:tblPrEx>
        <w:trPr>
          <w:cantSplit w:val="0"/>
        </w:trPr>
        <w:tc>
          <w:tcPr>
            <w:tcW w:w="124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W w:w="250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p>
        </w:tc>
        <w:tc>
          <w:tcPr>
            <w:tcW w:w="124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blPrEx>
          <w:tblW w:w="499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oMathPara>
            <w:r>
              <w:rPr>
                <w:sz w:val="21"/>
              </w:rPr>
              <w:t xml:space="preserve"> </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 xml:space="preserve"> </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4995"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35</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70</w:t>
            </w:r>
          </w:p>
        </w:tc>
      </w:tr>
      <w:tr>
        <w:tblPrEx>
          <w:tblW w:w="4995"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w:t>
            </w:r>
          </w:p>
        </w:tc>
      </w:tr>
      <w:tr>
        <w:tblPrEx>
          <w:tblW w:w="4995"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b</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r>
    </w:tbl>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     35     50</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【知识点】完善列联表</w:t>
      </w:r>
    </w:p>
    <w:p>
      <w:pPr>
        <w:shd w:val="clear" w:color="auto" w:fill="auto"/>
        <w:spacing w:line="360" w:lineRule="auto"/>
        <w:jc w:val="left"/>
        <w:rPr>
          <w:sz w:val="21"/>
        </w:rPr>
      </w:pPr>
      <w:r>
        <w:rPr>
          <w:sz w:val="21"/>
        </w:rPr>
        <w:t>【分析】利用所给列联表进行求解即可.</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70</m:t>
          </m:r>
        </m:oMath>
      </m:oMathPara>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35</m:t>
          </m:r>
        </m:oMath>
      </m:oMathPara>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b</m:t>
          </m:r>
        </m:oMath>
      </m:oMathPara>
      <w:r>
        <w:rPr>
          <w:sz w:val="21"/>
        </w:rPr>
        <w:t>，得</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50</m:t>
          </m:r>
        </m:oMath>
      </m:oMathPara>
      <w:r>
        <w:rPr>
          <w:sz w:val="21"/>
        </w:rPr>
        <w:t>．</w:t>
      </w:r>
    </w:p>
    <w:p>
      <w:pPr>
        <w:shd w:val="clear" w:color="auto" w:fill="auto"/>
        <w:spacing w:line="360" w:lineRule="auto"/>
        <w:jc w:val="left"/>
        <w:rPr>
          <w:sz w:val="21"/>
        </w:rPr>
      </w:pPr>
      <w:r>
        <w:rPr>
          <w:sz w:val="21"/>
        </w:rPr>
        <w:t>故答案为：35，50.</w:t>
      </w:r>
    </w:p>
    <w:p>
      <w:pPr>
        <w:shd w:val="clear" w:color="auto" w:fill="auto"/>
        <w:spacing w:line="360" w:lineRule="auto"/>
        <w:jc w:val="left"/>
        <w:rPr>
          <w:sz w:val="21"/>
        </w:rPr>
      </w:pPr>
      <w:r>
        <w:rPr>
          <w:sz w:val="21"/>
        </w:rPr>
        <w:t>2．某次国际会议为了搞好对外宣传工作，会务组选聘了50名记者担任对外翻译工作，在如表“性别与会外语”的</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列联表中，</w:t>
      </w:r>
      <m:oMathPara>
        <m:oMathParaPr>
          <m:jc m:val="left"/>
        </m:oMathParaPr>
        <m:oMath>
          <m:r>
            <w:rPr>
              <w:rFonts w:ascii="Cambria Math" w:eastAsia="宋体" w:hAnsi="Cambria Math" w:cs="Cambria Math"/>
            </w:rPr>
            <m:t>d</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tbl>
      <w:tblPr>
        <w:tblStyle w:val="TableNormal"/>
        <w:tblW w:w="6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61"/>
        <w:gridCol w:w="1613"/>
        <w:gridCol w:w="1664"/>
        <w:gridCol w:w="1561"/>
      </w:tblGrid>
      <w:tr>
        <w:tblPrEx>
          <w:tblW w:w="6420"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会外语</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不会外语</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6420"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男</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a</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b</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r>
      <w:tr>
        <w:tblPrEx>
          <w:tblW w:w="6420"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女</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d</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6420"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【答案】24</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【知识点】完善列联表</w:t>
      </w:r>
    </w:p>
    <w:p>
      <w:pPr>
        <w:shd w:val="clear" w:color="auto" w:fill="auto"/>
        <w:spacing w:line="360" w:lineRule="auto"/>
        <w:jc w:val="left"/>
        <w:rPr>
          <w:sz w:val="21"/>
        </w:rPr>
      </w:pPr>
      <w:r>
        <w:rPr>
          <w:sz w:val="21"/>
        </w:rPr>
        <w:t>【分析】根据题意列方程组求解即可</w:t>
      </w:r>
    </w:p>
    <w:p>
      <w:pPr>
        <w:shd w:val="clear" w:color="auto" w:fill="auto"/>
        <w:spacing w:line="360" w:lineRule="auto"/>
        <w:jc w:val="left"/>
        <w:rPr>
          <w:sz w:val="21"/>
        </w:rPr>
      </w:pPr>
      <w:r>
        <w:rPr>
          <w:sz w:val="21"/>
        </w:rPr>
        <w:t>【详解】由题意得</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e>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e>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e>
              </m:eqArr>
            </m:e>
          </m:d>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24</m:t>
          </m:r>
        </m:oMath>
      </m:oMathPara>
      <w:r>
        <w:rPr>
          <w:sz w:val="21"/>
        </w:rPr>
        <w:t>.</w:t>
      </w:r>
    </w:p>
    <w:p>
      <w:pPr>
        <w:shd w:val="clear" w:color="auto" w:fill="auto"/>
        <w:spacing w:line="360" w:lineRule="auto"/>
        <w:jc w:val="left"/>
        <w:rPr>
          <w:sz w:val="21"/>
        </w:rPr>
      </w:pPr>
      <w:r>
        <w:rPr>
          <w:sz w:val="21"/>
        </w:rPr>
        <w:t>故答案为：24</w:t>
      </w:r>
    </w:p>
    <w:p>
      <w:pPr>
        <w:shd w:val="clear" w:color="auto" w:fill="auto"/>
        <w:spacing w:line="360" w:lineRule="auto"/>
        <w:jc w:val="left"/>
        <w:rPr>
          <w:sz w:val="21"/>
        </w:rPr>
      </w:pPr>
      <w:r>
        <w:rPr>
          <w:sz w:val="21"/>
        </w:rPr>
        <w:t>3．户外运动已经成为一种时尚运动，某单位为了解员工喜欢户外运动是否与性别有关，从本单位全体650人中采用分层抽样的方法抽取50人进行了问卷调查，得到如下列联表：</w:t>
      </w:r>
    </w:p>
    <w:tbl>
      <w:tblPr>
        <w:tblStyle w:val="TableNormal"/>
        <w:tblW w:w="6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11"/>
        <w:gridCol w:w="1964"/>
        <w:gridCol w:w="2042"/>
        <w:gridCol w:w="1294"/>
      </w:tblGrid>
      <w:tr>
        <w:tblPrEx>
          <w:tblW w:w="6330" w:type="dxa"/>
        </w:tblPrEx>
        <w:trPr>
          <w:cantSplit w:val="0"/>
        </w:trPr>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喜欢户外运动</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不喜欢户外运动</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总计</w:t>
            </w:r>
          </w:p>
        </w:tc>
      </w:tr>
      <w:tr>
        <w:tblPrEx>
          <w:tblW w:w="6330" w:type="dxa"/>
        </w:tblPrEx>
        <w:trPr>
          <w:cantSplit w:val="0"/>
        </w:trPr>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男性</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b</w:t>
            </w:r>
          </w:p>
        </w:tc>
      </w:tr>
      <w:tr>
        <w:tblPrEx>
          <w:tblW w:w="6330" w:type="dxa"/>
        </w:tblPrEx>
        <w:trPr>
          <w:cantSplit w:val="0"/>
        </w:trPr>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女性</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c</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d</w:t>
            </w:r>
          </w:p>
        </w:tc>
      </w:tr>
      <w:tr>
        <w:tblPrEx>
          <w:tblW w:w="6330" w:type="dxa"/>
        </w:tblPrEx>
        <w:trPr>
          <w:cantSplit w:val="0"/>
        </w:trPr>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总计</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e</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f</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r>
    </w:tbl>
    <w:p>
      <w:pPr>
        <w:shd w:val="clear" w:color="auto" w:fill="auto"/>
        <w:spacing w:line="360" w:lineRule="auto"/>
        <w:jc w:val="left"/>
        <w:rPr>
          <w:sz w:val="21"/>
        </w:rPr>
      </w:pPr>
      <w:r>
        <w:rPr>
          <w:sz w:val="21"/>
        </w:rPr>
        <w:t>在这50人中随机抽取1人，抽到喜欢户外运动的员工的概率是0.6，求上面的列联表中各字母的值.</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25</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15</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25</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【知识点】完善列联表</w:t>
      </w:r>
    </w:p>
    <w:p>
      <w:pPr>
        <w:shd w:val="clear" w:color="auto" w:fill="auto"/>
        <w:spacing w:line="360" w:lineRule="auto"/>
        <w:jc w:val="left"/>
        <w:rPr>
          <w:sz w:val="21"/>
        </w:rPr>
      </w:pPr>
      <w:r>
        <w:rPr>
          <w:sz w:val="21"/>
        </w:rPr>
        <w:t>【分析】由于喜欢户外运动的员工的概率是0.6，即可求出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30</m:t>
          </m:r>
        </m:oMath>
      </m:oMathPara>
      <w:r>
        <w:rPr>
          <w:sz w:val="21"/>
        </w:rPr>
        <w:t>，从而求解其他参数取值．</w:t>
      </w:r>
    </w:p>
    <w:p>
      <w:pPr>
        <w:shd w:val="clear" w:color="auto" w:fill="auto"/>
        <w:spacing w:line="360" w:lineRule="auto"/>
        <w:jc w:val="left"/>
        <w:rPr>
          <w:sz w:val="21"/>
        </w:rPr>
      </w:pPr>
      <w:r>
        <w:rPr>
          <w:sz w:val="21"/>
        </w:rPr>
        <w:t>【详解】由“50人中随机抽取1人，抽到喜欢户外运动的员工的概率是0.6”可知，</w:t>
      </w:r>
    </w:p>
    <w:p>
      <w:pPr>
        <w:shd w:val="clear" w:color="auto" w:fill="auto"/>
        <w:spacing w:line="360" w:lineRule="auto"/>
        <w:jc w:val="left"/>
        <w:rPr>
          <w:sz w:val="21"/>
        </w:rPr>
      </w:pPr>
      <w:r>
        <w:rPr>
          <w:sz w:val="21"/>
        </w:rPr>
        <w:t>喜欢户外运动的人数为</w:t>
      </w:r>
      <m:oMathPara>
        <m:oMathParaPr>
          <m:jc m:val="left"/>
        </m:oMathParaPr>
        <m:oMath>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30</m:t>
          </m:r>
        </m:oMath>
      </m:oMathPara>
      <w:r>
        <w:rPr>
          <w:sz w:val="21"/>
        </w:rPr>
        <w:t>，即</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30</m:t>
          </m:r>
        </m:oMath>
      </m:oMathPara>
      <w:r>
        <w:rPr>
          <w:sz w:val="21"/>
        </w:rPr>
        <w:t>，故</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因为喜欢户外运动的女性有10人，所以喜欢户外运动的男性有</w:t>
      </w: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oMath>
      </m:oMathPara>
      <w:r>
        <w:rPr>
          <w:sz w:val="21"/>
        </w:rPr>
        <w:t>（人），</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20</m:t>
          </m:r>
        </m:oMath>
      </m:oMathPara>
      <w:r>
        <w:rPr>
          <w:sz w:val="21"/>
        </w:rPr>
        <w:t>，故</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25</m:t>
          </m:r>
        </m:oMath>
      </m:oMathPara>
      <w:r>
        <w:rPr>
          <w:sz w:val="21"/>
        </w:rPr>
        <w:t>，</w:t>
      </w:r>
    </w:p>
    <w:p>
      <w:pPr>
        <w:shd w:val="clear" w:color="auto" w:fill="auto"/>
        <w:spacing w:line="360" w:lineRule="auto"/>
        <w:jc w:val="left"/>
        <w:rPr>
          <w:sz w:val="21"/>
        </w:rPr>
      </w:pPr>
      <w:r>
        <w:rPr>
          <w:sz w:val="21"/>
        </w:rPr>
        <w:t>又因为不喜欢户外运动的男性有5人，所以不喜欢户外运动的女性有</w:t>
      </w: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15</m:t>
          </m:r>
        </m:oMath>
      </m:oMathPara>
      <w:r>
        <w:rPr>
          <w:sz w:val="21"/>
        </w:rPr>
        <w:t>（人），</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15</m:t>
          </m:r>
        </m:oMath>
      </m:oMathPara>
      <w:r>
        <w:rPr>
          <w:sz w:val="21"/>
        </w:rPr>
        <w:t>，故</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25</m:t>
          </m:r>
        </m:oMath>
      </m:oMathPara>
      <w:r>
        <w:rPr>
          <w:sz w:val="21"/>
        </w:rPr>
        <w:t>.综上，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25</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15</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25</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4．针对某新型病毒，某科研机构已研发出甲､乙两种疫苗，为比较两种疫苗的效果，选取100名志愿者，将他们随机分成两组，每组50人.第一组志愿者注射甲种疫苗，第二组志愿者注射乙种疫苗，经过一段时间后，对这100名志愿者进行该新型病毒抗体检测，发现有</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的志愿者未产生该新型病毒抗体，在未产生该新型病毒抗体的志愿者中，注射甲种疫苗的志愿者占</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1"/>
        </w:rPr>
        <w:t>.根据题中数据，完成列联表</w:t>
      </w:r>
    </w:p>
    <w:tbl>
      <w:tblPr>
        <w:tblStyle w:val="TableNormal"/>
        <w:tblW w:w="5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27"/>
        <w:gridCol w:w="1392"/>
        <w:gridCol w:w="1475"/>
        <w:gridCol w:w="1227"/>
      </w:tblGrid>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产生抗体</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未产生抗体</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甲</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乙</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【答案】列联表见解析.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【知识点】完善列联表</w:t>
      </w:r>
    </w:p>
    <w:p>
      <w:pPr>
        <w:shd w:val="clear" w:color="auto" w:fill="auto"/>
        <w:spacing w:line="360" w:lineRule="auto"/>
        <w:jc w:val="left"/>
        <w:rPr>
          <w:sz w:val="21"/>
        </w:rPr>
      </w:pPr>
      <w:r>
        <w:rPr>
          <w:sz w:val="21"/>
        </w:rPr>
        <w:t>【分析】根据题中数据及比例计算表格中的对应人数，完成列联表即可</w:t>
      </w:r>
    </w:p>
    <w:p>
      <w:pPr>
        <w:shd w:val="clear" w:color="auto" w:fill="auto"/>
        <w:spacing w:line="360" w:lineRule="auto"/>
        <w:jc w:val="left"/>
        <w:rPr>
          <w:sz w:val="21"/>
        </w:rPr>
      </w:pPr>
      <w:r>
        <w:rPr>
          <w:sz w:val="21"/>
        </w:rPr>
        <w:t>【详解】根据题中数据可得未产生该新型病毒抗体的志愿者的人数为</w:t>
      </w:r>
      <m:oMathPara>
        <m:oMathParaPr>
          <m:jc m:val="left"/>
        </m:oMathParaPr>
        <m:oMath>
          <m:r>
            <w:rPr>
              <w:rFonts w:ascii="Cambria Math" w:eastAsia="宋体" w:hAnsi="Cambria Math" w:cs="Cambria Math"/>
            </w:rPr>
            <m:t>100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则注射甲种疫苗的志愿者中未产生抗体的人数为</w:t>
      </w:r>
      <m:oMathPara>
        <m:oMathParaPr>
          <m:jc m:val="left"/>
        </m:oMathParaPr>
        <m:oMath>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oMath>
      </m:oMathPara>
      <w:r>
        <w:rPr>
          <w:sz w:val="21"/>
        </w:rPr>
        <w:t>，产生抗体的人数为</w:t>
      </w:r>
      <m:oMathPara>
        <m:oMathParaPr>
          <m:jc m:val="left"/>
        </m:oMathParaPr>
        <m:oMath>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48</m:t>
          </m:r>
        </m:oMath>
      </m:oMathPara>
      <w:r>
        <w:rPr>
          <w:sz w:val="21"/>
        </w:rPr>
        <w:t>；</w:t>
      </w:r>
    </w:p>
    <w:p>
      <w:pPr>
        <w:shd w:val="clear" w:color="auto" w:fill="auto"/>
        <w:spacing w:line="360" w:lineRule="auto"/>
        <w:jc w:val="left"/>
        <w:rPr>
          <w:sz w:val="21"/>
        </w:rPr>
      </w:pPr>
      <w:r>
        <w:rPr>
          <w:sz w:val="21"/>
        </w:rPr>
        <w:t>注射乙种疫苗的志愿者中未产生抗体的人数为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oMath>
      </m:oMathPara>
      <w:r>
        <w:rPr>
          <w:sz w:val="21"/>
        </w:rPr>
        <w:t>，产生抗体的人数为</w:t>
      </w:r>
      <m:oMathPara>
        <m:oMathParaPr>
          <m:jc m:val="left"/>
        </m:oMathParaPr>
        <m:oMath>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42</m:t>
          </m:r>
        </m:oMath>
      </m:oMathPara>
      <w:r>
        <w:rPr>
          <w:sz w:val="21"/>
        </w:rPr>
        <w:t>.</w:t>
      </w:r>
    </w:p>
    <w:tbl>
      <w:tblPr>
        <w:tblStyle w:val="TableNormal"/>
        <w:tblW w:w="5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27"/>
        <w:gridCol w:w="1392"/>
        <w:gridCol w:w="1475"/>
        <w:gridCol w:w="1227"/>
      </w:tblGrid>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产生抗体</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未产生抗体</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甲</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48</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r>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乙</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r>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5．在海南省第二十四届科技创新大赛活动中，某同学为研究“网络游戏对当代青少年的影响”作了一次调查，共调查了50名同学，其中男生26人，有8人不喜欢玩电脑游戏，而调查的女生中有9人喜欢玩电脑游戏．根据以上数据建立一个2×2的列联表</w:t>
      </w:r>
    </w:p>
    <w:p>
      <w:pPr>
        <w:shd w:val="clear" w:color="auto" w:fill="auto"/>
        <w:spacing w:line="360" w:lineRule="auto"/>
        <w:jc w:val="left"/>
        <w:rPr>
          <w:sz w:val="21"/>
        </w:rPr>
      </w:pPr>
      <w:r>
        <w:rPr>
          <w:sz w:val="21"/>
        </w:rPr>
        <w:t>【答案】答案见解析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【知识点】完善列联表</w:t>
      </w:r>
    </w:p>
    <w:p>
      <w:pPr>
        <w:shd w:val="clear" w:color="auto" w:fill="auto"/>
        <w:spacing w:line="360" w:lineRule="auto"/>
        <w:jc w:val="left"/>
        <w:rPr>
          <w:sz w:val="21"/>
        </w:rPr>
      </w:pPr>
      <w:r>
        <w:rPr>
          <w:sz w:val="21"/>
        </w:rPr>
        <w:t>【分析】根据题中数据将调查的同学分为男生、女生以及喜欢玩电脑游戏、不喜欢玩电脑游戏两类建立列联表即可</w:t>
      </w:r>
    </w:p>
    <w:p>
      <w:pPr>
        <w:shd w:val="clear" w:color="auto" w:fill="auto"/>
        <w:spacing w:line="360" w:lineRule="auto"/>
        <w:jc w:val="left"/>
        <w:rPr>
          <w:sz w:val="21"/>
        </w:rPr>
      </w:pPr>
      <w:r>
        <w:rPr>
          <w:sz w:val="21"/>
        </w:rPr>
        <w:t>【详解】2×2列联表如下：</w:t>
      </w:r>
    </w:p>
    <w:tbl>
      <w:tblPr>
        <w:tblStyle w:val="TableNormal"/>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65"/>
        <w:gridCol w:w="805"/>
        <w:gridCol w:w="805"/>
        <w:gridCol w:w="805"/>
      </w:tblGrid>
      <w:tr>
        <w:tblPrEx>
          <w:tblW w:w="450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游戏态度/性别　　　　</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男生</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女生</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总计</w:t>
            </w:r>
          </w:p>
        </w:tc>
      </w:tr>
      <w:tr>
        <w:tblPrEx>
          <w:tblW w:w="450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喜欢玩电脑游戏</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27</w:t>
            </w:r>
          </w:p>
        </w:tc>
      </w:tr>
      <w:tr>
        <w:tblPrEx>
          <w:tblW w:w="450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不喜欢玩电脑游戏</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23</w:t>
            </w:r>
          </w:p>
        </w:tc>
      </w:tr>
      <w:tr>
        <w:tblPrEx>
          <w:tblW w:w="450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总计</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26</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24</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r>
    </w:tbl>
    <w:p>
      <w:pPr>
        <w:shd w:val="clear" w:color="auto" w:fill="auto"/>
        <w:spacing w:line="360" w:lineRule="auto"/>
        <w:jc w:val="left"/>
        <w:rPr>
          <w:sz w:val="21"/>
        </w:rPr>
      </w:pPr>
    </w:p>
    <w:p>
      <w:pPr>
        <w:shd w:val="clear" w:color="auto" w:fill="auto"/>
        <w:spacing w:line="360" w:lineRule="auto"/>
        <w:jc w:val="left"/>
        <w:rPr>
          <w:sz w:val="21"/>
        </w:rPr>
      </w:pPr>
      <w:r>
        <w:rPr>
          <w:b/>
          <w:sz w:val="24"/>
        </w:rPr>
        <w:t>（二）列联表分析</w:t>
      </w:r>
    </w:p>
    <w:p>
      <w:pPr>
        <w:shd w:val="clear" w:color="auto" w:fill="auto"/>
        <w:spacing w:line="360" w:lineRule="auto"/>
        <w:jc w:val="left"/>
        <w:rPr>
          <w:sz w:val="21"/>
        </w:rPr>
      </w:pPr>
      <w:r>
        <w:rPr>
          <w:sz w:val="21"/>
        </w:rPr>
        <w:t>6．把两个分类变量的频数列出，称为（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A．三维柱形图</w:t>
      </w:r>
      <w:r>
        <w:rPr>
          <w:sz w:val="21"/>
        </w:rPr>
        <w:tab/>
      </w:r>
      <w:r>
        <w:rPr>
          <w:sz w:val="21"/>
        </w:rPr>
        <w:t>B．二维条形图</w:t>
      </w:r>
      <w:r>
        <w:rPr>
          <w:sz w:val="21"/>
        </w:rPr>
        <w:tab/>
      </w:r>
      <w:r>
        <w:rPr>
          <w:sz w:val="21"/>
        </w:rPr>
        <w:t>C．列联表</w:t>
      </w:r>
      <w:r>
        <w:rPr>
          <w:sz w:val="21"/>
        </w:rPr>
        <w:tab/>
      </w:r>
      <w:r>
        <w:rPr>
          <w:sz w:val="21"/>
        </w:rPr>
        <w:t>D．频率分布直方图</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【知识点】频率分布直方图的优缺点与适用对象、列联表分析</w:t>
      </w:r>
    </w:p>
    <w:p>
      <w:pPr>
        <w:shd w:val="clear" w:color="auto" w:fill="auto"/>
        <w:spacing w:line="360" w:lineRule="auto"/>
        <w:jc w:val="left"/>
        <w:rPr>
          <w:sz w:val="21"/>
        </w:rPr>
      </w:pPr>
      <w:r>
        <w:rPr>
          <w:sz w:val="21"/>
        </w:rPr>
        <w:t>【分析】根据三维柱形图、二维条形图、列联表和频率分布直方图的定义和特征依次判断即可.</w:t>
      </w:r>
    </w:p>
    <w:p>
      <w:pPr>
        <w:shd w:val="clear" w:color="auto" w:fill="auto"/>
        <w:spacing w:line="360" w:lineRule="auto"/>
        <w:jc w:val="left"/>
        <w:rPr>
          <w:sz w:val="21"/>
        </w:rPr>
      </w:pPr>
      <w:r>
        <w:rPr>
          <w:sz w:val="21"/>
        </w:rPr>
        <w:t>【详解】三维柱形图和二维条形图，是粗略地判断两个分类变量是否相关，故不合题意；</w:t>
      </w:r>
    </w:p>
    <w:p>
      <w:pPr>
        <w:shd w:val="clear" w:color="auto" w:fill="auto"/>
        <w:spacing w:line="360" w:lineRule="auto"/>
        <w:jc w:val="left"/>
        <w:rPr>
          <w:sz w:val="21"/>
        </w:rPr>
      </w:pPr>
      <w:r>
        <w:rPr>
          <w:sz w:val="21"/>
        </w:rPr>
        <w:t>列联表，是将两个分类变量的频数列表，故符合题意；</w:t>
      </w:r>
    </w:p>
    <w:p>
      <w:pPr>
        <w:shd w:val="clear" w:color="auto" w:fill="auto"/>
        <w:spacing w:line="360" w:lineRule="auto"/>
        <w:jc w:val="left"/>
        <w:rPr>
          <w:sz w:val="21"/>
        </w:rPr>
      </w:pPr>
      <w:r>
        <w:rPr>
          <w:sz w:val="21"/>
        </w:rPr>
        <w:t>频率分布直方图，显示各组频数分布情况又易于显示各组之间频数的差别，故不合题意.</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7．某单位主管对50名员工进行了工作量的调查，了解男、女职工对工作量大小的看法是否存在差异，得到的数据如下：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2"/>
        <w:gridCol w:w="1533"/>
        <w:gridCol w:w="1533"/>
        <w:gridCol w:w="692"/>
      </w:tblGrid>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性别</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工作量</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认为工作量大</w:t>
            </w:r>
            <m:oMathPara>
              <m:oMathParaPr>
                <m:jc m:val="left"/>
              </m:oMathParaPr>
              <m:oMath>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认为工作量小</w:t>
            </w:r>
            <m:oMathPara>
              <m:oMathParaPr>
                <m:jc m:val="left"/>
              </m:oMathParaPr>
              <m:oMath>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d>
              </m:oMath>
            </m:oMathPara>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男</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27</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女</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23</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r>
    </w:tbl>
    <w:p>
      <w:pPr>
        <w:shd w:val="clear" w:color="auto" w:fill="auto"/>
        <w:spacing w:line="360" w:lineRule="auto"/>
        <w:jc w:val="left"/>
        <w:rPr>
          <w:sz w:val="21"/>
        </w:rPr>
      </w:pPr>
      <w:r>
        <w:rPr>
          <w:sz w:val="21"/>
        </w:rPr>
        <w:t>请判断认为工作量的大小与性别是否有关．</w:t>
      </w:r>
    </w:p>
    <w:p>
      <w:pPr>
        <w:shd w:val="clear" w:color="auto" w:fill="auto"/>
        <w:spacing w:line="360" w:lineRule="auto"/>
        <w:jc w:val="left"/>
        <w:rPr>
          <w:sz w:val="21"/>
        </w:rPr>
      </w:pPr>
      <w:r>
        <w:rPr>
          <w:sz w:val="21"/>
        </w:rPr>
        <w:t>【答案】工作量的大小与性别有关系，男职工更加认为工作量大．</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【知识点】列联表分析</w:t>
      </w:r>
    </w:p>
    <w:p>
      <w:pPr>
        <w:shd w:val="clear" w:color="auto" w:fill="auto"/>
        <w:spacing w:line="360" w:lineRule="auto"/>
        <w:jc w:val="left"/>
        <w:rPr>
          <w:sz w:val="21"/>
        </w:rPr>
      </w:pPr>
      <w:r>
        <w:rPr>
          <w:sz w:val="21"/>
        </w:rPr>
        <w:t>【分析】分别计算</w:t>
      </w:r>
      <m:oMathPara>
        <m:oMathParaPr>
          <m:jc m:val="left"/>
        </m:oMathParaPr>
        <m:oMath>
          <m:r>
            <w:rPr>
              <w:rFonts w:ascii="Cambria Math" w:eastAsia="宋体" w:hAnsi="Cambria Math" w:cs="Cambria Math"/>
            </w:rPr>
            <m:t>P</m:t>
          </m:r>
          <m:d>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d>
                <m:dPr>
                  <m:begChr m:val="|"/>
                  <m:endChr m:val=" "/>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d>
        </m:oMath>
      </m:oMathPara>
      <w:r>
        <w:rPr>
          <w:sz w:val="21"/>
        </w:rPr>
        <w:t>，</w:t>
      </w:r>
      <m:oMathPara>
        <m:oMathParaPr>
          <m:jc m:val="left"/>
        </m:oMathParaPr>
        <m:oMath>
          <m:r>
            <w:rPr>
              <w:rFonts w:ascii="Cambria Math" w:eastAsia="宋体" w:hAnsi="Cambria Math" w:cs="Cambria Math"/>
            </w:rPr>
            <m:t>P</m:t>
          </m:r>
          <m:d>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d>
                <m:dPr>
                  <m:begChr m:val="|"/>
                  <m:endChr m:val=" "/>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e>
          </m:d>
        </m:oMath>
      </m:oMathPara>
      <w:r>
        <w:rPr>
          <w:sz w:val="21"/>
        </w:rPr>
        <w:t>，比较大小，若差距较大即可认为工作量的大小与性别有关系.</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P</m:t>
          </m:r>
          <m:d>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d>
                <m:dPr>
                  <m:begChr m:val="|"/>
                  <m:endChr m:val=" "/>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d>
          <m:r>
            <w:rPr>
              <w:rFonts w:ascii="Cambria Math" w:eastAsia="宋体" w:hAnsi="Cambria Math" w:cs="Cambria Math"/>
            </w:rPr>
            <m:t>=</m:t>
          </m:r>
          <m:f>
            <m:num>
              <m:r>
                <w:rPr>
                  <w:rFonts w:ascii="Cambria Math" w:eastAsia="宋体" w:hAnsi="Cambria Math" w:cs="Cambria Math"/>
                </w:rPr>
                <m:t>n</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n</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27</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0.667</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d>
                <m:dPr>
                  <m:begChr m:val="|"/>
                  <m:endChr m:val=" "/>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e>
          </m:d>
          <m:r>
            <w:rPr>
              <w:rFonts w:ascii="Cambria Math" w:eastAsia="宋体" w:hAnsi="Cambria Math" w:cs="Cambria Math"/>
            </w:rPr>
            <m:t>=</m:t>
          </m:r>
          <m:f>
            <m:num>
              <m:r>
                <w:rPr>
                  <w:rFonts w:ascii="Cambria Math" w:eastAsia="宋体" w:hAnsi="Cambria Math" w:cs="Cambria Math"/>
                </w:rPr>
                <m:t>n</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n</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23</m:t>
              </m:r>
            </m:den>
          </m:f>
          <m:r>
            <w:rPr>
              <w:rFonts w:ascii="Cambria Math" w:eastAsia="宋体" w:hAnsi="Cambria Math" w:cs="Cambria Math"/>
            </w:rPr>
            <m:t>≈</m:t>
          </m:r>
          <m:r>
            <w:rPr>
              <w:rFonts w:ascii="Cambria Math" w:eastAsia="宋体" w:hAnsi="Cambria Math" w:cs="Cambria Math"/>
            </w:rPr>
            <m:t>0.348</m:t>
          </m:r>
        </m:oMath>
      </m:oMathPara>
      <w:r>
        <w:rPr>
          <w:sz w:val="21"/>
        </w:rPr>
        <w:t>，</w:t>
      </w:r>
    </w:p>
    <w:p>
      <w:pPr>
        <w:shd w:val="clear" w:color="auto" w:fill="auto"/>
        <w:spacing w:line="360" w:lineRule="auto"/>
        <w:jc w:val="left"/>
        <w:rPr>
          <w:sz w:val="21"/>
        </w:rPr>
      </w:pPr>
      <w:r>
        <w:rPr>
          <w:sz w:val="21"/>
        </w:rPr>
        <w:t>所以认为工作量的大小与性别有关系，男职工更加认为工作量大．</w:t>
      </w:r>
    </w:p>
    <w:p>
      <w:pPr>
        <w:shd w:val="clear" w:color="auto" w:fill="auto"/>
        <w:spacing w:line="360" w:lineRule="auto"/>
        <w:jc w:val="left"/>
        <w:rPr>
          <w:sz w:val="21"/>
        </w:rPr>
      </w:pPr>
      <w:r>
        <w:rPr>
          <w:sz w:val="21"/>
        </w:rPr>
        <w:t>8．在对人们的休闲方式的一次调查中，共调查了110人，其中女性50人，男性60人.女性中有30人主要的休闲方式是看电视，另外20人主要的休闲方式是运动；男性中有20人主要的休闲方式是看电视，另外40人主要的休闲方式是运动.</w:t>
      </w:r>
    </w:p>
    <w:p>
      <w:pPr>
        <w:shd w:val="clear" w:color="auto" w:fill="auto"/>
        <w:spacing w:line="360" w:lineRule="auto"/>
        <w:jc w:val="left"/>
        <w:rPr>
          <w:sz w:val="21"/>
        </w:rPr>
      </w:pPr>
      <w:r>
        <w:rPr>
          <w:sz w:val="21"/>
        </w:rPr>
        <w:t>（1）根据以上数据建立一个2×2列联表；</w:t>
      </w:r>
    </w:p>
    <w:p>
      <w:pPr>
        <w:shd w:val="clear" w:color="auto" w:fill="auto"/>
        <w:spacing w:line="360" w:lineRule="auto"/>
        <w:jc w:val="left"/>
        <w:rPr>
          <w:sz w:val="21"/>
        </w:rPr>
      </w:pPr>
      <w:r>
        <w:rPr>
          <w:sz w:val="21"/>
        </w:rPr>
        <w:t>（2）由列联表判断性别与休闲方式是否有关系.</w:t>
      </w:r>
    </w:p>
    <w:p>
      <w:pPr>
        <w:shd w:val="clear" w:color="auto" w:fill="auto"/>
        <w:spacing w:line="360" w:lineRule="auto"/>
        <w:jc w:val="left"/>
        <w:rPr>
          <w:sz w:val="21"/>
        </w:rPr>
      </w:pPr>
      <w:r>
        <w:rPr>
          <w:sz w:val="21"/>
        </w:rPr>
        <w:t>【答案】（1）列联表答案见解析；（2）性别与休闲方式有关系.</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【知识点】完善列联表、列联表分析、计算频率</w:t>
      </w:r>
    </w:p>
    <w:p>
      <w:pPr>
        <w:shd w:val="clear" w:color="auto" w:fill="auto"/>
        <w:spacing w:line="360" w:lineRule="auto"/>
        <w:jc w:val="left"/>
        <w:rPr>
          <w:sz w:val="21"/>
        </w:rPr>
      </w:pPr>
      <w:r>
        <w:rPr>
          <w:sz w:val="21"/>
        </w:rPr>
        <w:t>【分析】（1）根据2×2的列联表要求列表.</w:t>
      </w:r>
    </w:p>
    <w:p>
      <w:pPr>
        <w:shd w:val="clear" w:color="auto" w:fill="auto"/>
        <w:spacing w:line="360" w:lineRule="auto"/>
        <w:jc w:val="left"/>
        <w:rPr>
          <w:sz w:val="21"/>
        </w:rPr>
      </w:pPr>
      <w:r>
        <w:rPr>
          <w:sz w:val="21"/>
        </w:rPr>
        <w:t>（2）根据列联表中的数据,分别算出女性、男性中休息方式为看电视的频率即可判断.</w:t>
      </w:r>
    </w:p>
    <w:p>
      <w:pPr>
        <w:shd w:val="clear" w:color="auto" w:fill="auto"/>
        <w:spacing w:line="360" w:lineRule="auto"/>
        <w:jc w:val="left"/>
        <w:rPr>
          <w:sz w:val="21"/>
        </w:rPr>
      </w:pPr>
      <w:r>
        <w:rPr>
          <w:sz w:val="21"/>
        </w:rPr>
        <w:t>【详解】（1）2×2的列联表：</w:t>
      </w:r>
    </w:p>
    <w:tbl>
      <w:tblPr>
        <w:tblStyle w:val="TableNormal"/>
        <w:tblW w:w="4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08"/>
        <w:gridCol w:w="1107"/>
        <w:gridCol w:w="1123"/>
        <w:gridCol w:w="1208"/>
      </w:tblGrid>
      <w:tr>
        <w:tblPrEx>
          <w:tblW w:w="4665"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看电视</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运动</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4665"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女</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r>
      <w:tr>
        <w:tblPrEx>
          <w:tblW w:w="4665"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男</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w:t>
            </w:r>
          </w:p>
        </w:tc>
      </w:tr>
      <w:tr>
        <w:tblPrEx>
          <w:tblW w:w="4665"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110</w:t>
            </w:r>
          </w:p>
        </w:tc>
      </w:tr>
    </w:tbl>
    <w:p>
      <w:pPr>
        <w:shd w:val="clear" w:color="auto" w:fill="auto"/>
        <w:spacing w:line="360" w:lineRule="auto"/>
        <w:jc w:val="left"/>
        <w:rPr>
          <w:sz w:val="21"/>
        </w:rPr>
      </w:pPr>
      <w:r>
        <w:rPr>
          <w:sz w:val="21"/>
        </w:rPr>
        <w:t>（2）根据列联表中的数据，可得女性中休息方式为看电视的频率为</w:t>
      </w:r>
      <m:oMathPara>
        <m:oMathParaPr>
          <m:jc m:val="left"/>
        </m:oMathParaPr>
        <m:oMath>
          <m:f>
            <m:num>
              <m:r>
                <w:rPr>
                  <w:rFonts w:ascii="Cambria Math" w:eastAsia="宋体" w:hAnsi="Cambria Math" w:cs="Cambria Math"/>
                </w:rPr>
                <m:t>30</m:t>
              </m:r>
            </m:num>
            <m:den>
              <m:r>
                <w:rPr>
                  <w:rFonts w:ascii="Cambria Math" w:eastAsia="宋体" w:hAnsi="Cambria Math" w:cs="Cambria Math"/>
                </w:rPr>
                <m:t>50</m:t>
              </m:r>
            </m:den>
          </m:f>
          <m:r>
            <w:rPr>
              <w:rFonts w:ascii="Cambria Math" w:eastAsia="宋体" w:hAnsi="Cambria Math" w:cs="Cambria Math"/>
            </w:rPr>
            <m:t>=</m:t>
          </m:r>
          <m:r>
            <w:rPr>
              <w:rFonts w:ascii="Cambria Math" w:eastAsia="宋体" w:hAnsi="Cambria Math" w:cs="Cambria Math"/>
            </w:rPr>
            <m:t>0.6</m:t>
          </m:r>
        </m:oMath>
      </m:oMathPara>
      <w:r>
        <w:rPr>
          <w:sz w:val="21"/>
        </w:rPr>
        <w:t>，男性中休息方式为看电视的频率为</w:t>
      </w:r>
      <m:oMathPara>
        <m:oMathParaPr>
          <m:jc m:val="left"/>
        </m:oMathParaPr>
        <m:oMath>
          <m:f>
            <m:num>
              <m:r>
                <w:rPr>
                  <w:rFonts w:ascii="Cambria Math" w:eastAsia="宋体" w:hAnsi="Cambria Math" w:cs="Cambria Math"/>
                </w:rPr>
                <m:t>20</m:t>
              </m:r>
            </m:num>
            <m:den>
              <m:r>
                <w:rPr>
                  <w:rFonts w:ascii="Cambria Math" w:eastAsia="宋体" w:hAnsi="Cambria Math" w:cs="Cambria Math"/>
                </w:rPr>
                <m:t>60</m:t>
              </m:r>
            </m:den>
          </m:f>
          <m:r>
            <w:rPr>
              <w:rFonts w:ascii="Cambria Math" w:eastAsia="宋体" w:hAnsi="Cambria Math" w:cs="Cambria Math"/>
            </w:rPr>
            <m:t>≈</m:t>
          </m:r>
          <m:r>
            <w:rPr>
              <w:rFonts w:ascii="Cambria Math" w:eastAsia="宋体" w:hAnsi="Cambria Math" w:cs="Cambria Math"/>
            </w:rPr>
            <m:t>0.333</m:t>
          </m:r>
        </m:oMath>
      </m:oMathPara>
      <w:r>
        <w:rPr>
          <w:sz w:val="21"/>
        </w:rPr>
        <w:t>，二者差别较大，可知性别与休闲方式有关系.</w:t>
      </w:r>
    </w:p>
    <w:p>
      <w:pPr>
        <w:shd w:val="clear" w:color="auto" w:fill="auto"/>
        <w:spacing w:line="360" w:lineRule="auto"/>
        <w:jc w:val="left"/>
        <w:rPr>
          <w:sz w:val="21"/>
        </w:rPr>
      </w:pPr>
      <w:r>
        <w:rPr>
          <w:sz w:val="21"/>
        </w:rPr>
        <w:t>9．假设有两个分类变量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的</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列联表如下表：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3"/>
        <w:gridCol w:w="273"/>
        <w:gridCol w:w="27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a</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b</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c</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d</m:t>
                </m:r>
              </m:oMath>
            </m:oMathPara>
          </w:p>
        </w:tc>
      </w:tr>
    </w:tbl>
    <w:p>
      <w:pPr>
        <w:shd w:val="clear" w:color="auto" w:fill="auto"/>
        <w:spacing w:line="360" w:lineRule="auto"/>
        <w:jc w:val="left"/>
        <w:rPr>
          <w:sz w:val="21"/>
        </w:rPr>
      </w:pPr>
      <w:r>
        <w:rPr>
          <w:sz w:val="21"/>
        </w:rPr>
        <w:t>对于以下数据，对同一样本能说明</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有关系的可能性最大的一组为（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5</m:t>
          </m:r>
        </m:oMath>
      </m:oMathPara>
      <w:r>
        <w:rPr>
          <w:sz w:val="21"/>
        </w:rPr>
        <w:tab/>
      </w:r>
      <w:r>
        <w:rPr>
          <w:sz w:val="21"/>
        </w:rPr>
        <w:t>D．</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【知识点】列联表分析</w:t>
      </w:r>
    </w:p>
    <w:p>
      <w:pPr>
        <w:shd w:val="clear" w:color="auto" w:fill="auto"/>
        <w:spacing w:line="360" w:lineRule="auto"/>
        <w:jc w:val="left"/>
        <w:rPr>
          <w:sz w:val="21"/>
        </w:rPr>
      </w:pPr>
      <w:r>
        <w:rPr>
          <w:sz w:val="21"/>
        </w:rPr>
        <w:t>【分析】计算每个选项中的</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oMath>
      </m:oMathPara>
      <w:r>
        <w:rPr>
          <w:sz w:val="21"/>
        </w:rPr>
        <w:t>，比较大小后可得出结论.</w:t>
      </w:r>
    </w:p>
    <w:p>
      <w:pPr>
        <w:shd w:val="clear" w:color="auto" w:fill="auto"/>
        <w:spacing w:line="360" w:lineRule="auto"/>
        <w:jc w:val="left"/>
        <w:rPr>
          <w:sz w:val="21"/>
        </w:rPr>
      </w:pPr>
      <w:r>
        <w:rPr>
          <w:sz w:val="21"/>
        </w:rPr>
        <w:t>【详解】对于两个分类变量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而言，</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oMath>
      </m:oMathPara>
      <w:r>
        <w:rPr>
          <w:sz w:val="21"/>
        </w:rPr>
        <w:t>的值越大，说明</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有关系的可能性最大，</w:t>
      </w:r>
    </w:p>
    <w:p>
      <w:pPr>
        <w:shd w:val="clear" w:color="auto" w:fill="auto"/>
        <w:spacing w:line="360" w:lineRule="auto"/>
        <w:jc w:val="left"/>
        <w:rPr>
          <w:sz w:val="21"/>
        </w:rPr>
      </w:pPr>
      <w:r>
        <w:rPr>
          <w:sz w:val="21"/>
        </w:rPr>
        <w:t>对于A选项，</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对于B选项，</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对于C选项，</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对于D选项，</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7</m:t>
          </m:r>
        </m:oMath>
      </m:oMathPara>
      <w:r>
        <w:rPr>
          <w:sz w:val="21"/>
        </w:rPr>
        <w:t>，</w:t>
      </w:r>
    </w:p>
    <w:p>
      <w:pPr>
        <w:shd w:val="clear" w:color="auto" w:fill="auto"/>
        <w:spacing w:line="360" w:lineRule="auto"/>
        <w:jc w:val="left"/>
        <w:rPr>
          <w:sz w:val="21"/>
        </w:rPr>
      </w:pPr>
      <w:r>
        <w:rPr>
          <w:sz w:val="21"/>
        </w:rPr>
        <w:t>显然D中</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oMath>
      </m:oMathPara>
      <w:r>
        <w:rPr>
          <w:sz w:val="21"/>
        </w:rPr>
        <w:t>最大，</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（三）等高条形图</w:t>
      </w:r>
    </w:p>
    <w:p>
      <w:pPr>
        <w:shd w:val="clear" w:color="auto" w:fill="auto"/>
        <w:spacing w:line="360" w:lineRule="auto"/>
        <w:jc w:val="left"/>
        <w:rPr>
          <w:sz w:val="21"/>
        </w:rPr>
      </w:pPr>
      <w:r>
        <w:rPr>
          <w:sz w:val="21"/>
        </w:rPr>
        <w:t>10．某艺术馆为了研究学生性别和喜欢国画之间的联系，随机抽取80名学生进行调查（其中有男生50名，女生30名），并绘制等高条形图，则这80名学生中喜欢国画的人数为（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28925" cy="3009900"/>
            <wp:docPr id="100003" name="" descr="@@@a4c519f796264c8da6469cceaa18b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828925" cy="3009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A．24</w:t>
      </w:r>
      <w:r>
        <w:rPr>
          <w:sz w:val="21"/>
        </w:rPr>
        <w:tab/>
      </w:r>
      <w:r>
        <w:rPr>
          <w:sz w:val="21"/>
        </w:rPr>
        <w:t>B．32</w:t>
      </w:r>
      <w:r>
        <w:rPr>
          <w:sz w:val="21"/>
        </w:rPr>
        <w:tab/>
      </w:r>
      <w:r>
        <w:rPr>
          <w:sz w:val="21"/>
        </w:rPr>
        <w:t>C．48</w:t>
      </w:r>
      <w:r>
        <w:rPr>
          <w:sz w:val="21"/>
        </w:rPr>
        <w:tab/>
      </w:r>
      <w:r>
        <w:rPr>
          <w:sz w:val="21"/>
        </w:rPr>
        <w:t>D．58</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【知识点】等高条形图</w:t>
      </w:r>
    </w:p>
    <w:p>
      <w:pPr>
        <w:shd w:val="clear" w:color="auto" w:fill="auto"/>
        <w:spacing w:line="360" w:lineRule="auto"/>
        <w:jc w:val="left"/>
        <w:rPr>
          <w:sz w:val="21"/>
        </w:rPr>
      </w:pPr>
      <w:r>
        <w:rPr>
          <w:sz w:val="21"/>
        </w:rPr>
        <w:t>【分析】根据等高条形图计算直接得出结果.</w:t>
      </w:r>
    </w:p>
    <w:p>
      <w:pPr>
        <w:shd w:val="clear" w:color="auto" w:fill="auto"/>
        <w:spacing w:line="360" w:lineRule="auto"/>
        <w:jc w:val="left"/>
        <w:rPr>
          <w:sz w:val="21"/>
        </w:rPr>
      </w:pPr>
      <w:r>
        <w:rPr>
          <w:sz w:val="21"/>
        </w:rPr>
        <w:t>【详解】由等高条形图可知，</w:t>
      </w:r>
    </w:p>
    <w:p>
      <w:pPr>
        <w:shd w:val="clear" w:color="auto" w:fill="auto"/>
        <w:spacing w:line="360" w:lineRule="auto"/>
        <w:jc w:val="left"/>
        <w:rPr>
          <w:sz w:val="21"/>
        </w:rPr>
      </w:pPr>
      <w:r>
        <w:rPr>
          <w:sz w:val="21"/>
        </w:rPr>
        <w:t>这80名学生中喜欢国画的人数为：</w:t>
      </w:r>
    </w:p>
    <w:p>
      <w:pPr>
        <w:shd w:val="clear" w:color="auto" w:fill="auto"/>
        <w:spacing w:line="360" w:lineRule="auto"/>
        <w:jc w:val="left"/>
        <w:rPr>
          <w:sz w:val="21"/>
        </w:rPr>
      </w:pPr>
      <m:oMathPara>
        <m:oMathParaPr>
          <m:jc m:val="left"/>
        </m:oMathParaPr>
        <m:oMath>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58</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11．观察下列各图，其中两个分类变量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之间关系最强的是（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619250" cy="1333500"/>
            <wp:docPr id="100005" name="" descr="@@@be4ea77025784d1db7f2ab5672910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19250" cy="13335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619250" cy="1333500"/>
            <wp:docPr id="100007" name="" descr="@@@70fb85c05fce4e5783fb7277e2409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19250" cy="1333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619250" cy="1333500"/>
            <wp:docPr id="100009" name="" descr="@@@98ca5e8b27e340e0ac265bcae864f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19250" cy="13335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619250" cy="1333500"/>
            <wp:docPr id="100011" name="" descr="@@@3ac4b90dc12c49698535b19e4802d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19250" cy="1333500"/>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【知识点】等高条形图</w:t>
      </w:r>
    </w:p>
    <w:p>
      <w:pPr>
        <w:shd w:val="clear" w:color="auto" w:fill="auto"/>
        <w:spacing w:line="360" w:lineRule="auto"/>
        <w:jc w:val="left"/>
        <w:rPr>
          <w:sz w:val="21"/>
        </w:rPr>
      </w:pPr>
      <w:r>
        <w:rPr>
          <w:sz w:val="21"/>
        </w:rPr>
        <w:t>【分析】由等高条形图的定义和性质依次分析，即得解</w:t>
      </w:r>
    </w:p>
    <w:p>
      <w:pPr>
        <w:shd w:val="clear" w:color="auto" w:fill="auto"/>
        <w:spacing w:line="360" w:lineRule="auto"/>
        <w:jc w:val="left"/>
        <w:rPr>
          <w:sz w:val="21"/>
        </w:rPr>
      </w:pPr>
      <w:r>
        <w:rPr>
          <w:sz w:val="21"/>
        </w:rPr>
        <w:t>【详解】观察等高条形图发现</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oMath>
      </m:oMathPara>
      <w:r>
        <w:rPr>
          <w:sz w:val="21"/>
        </w:rPr>
        <w:t>与</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oMath>
      </m:oMathPara>
      <w:r>
        <w:rPr>
          <w:sz w:val="21"/>
        </w:rPr>
        <w:t>相差很大，就判断两个分类变量之量关系最强．</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12．为了解某高校学生使用手机支付和现金支付的情况，抽取了部分学生作为样本，统计其喜欢的支付方式，并制作出如下等高条形图(如图)，根据图中的信息，下列结论中不正确的是（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95750" cy="2047875"/>
            <wp:docPr id="100013" name="" descr="@@@9a4551ec-b163-4b7a-9f6d-0fc2070e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095750" cy="2047875"/>
                    </a:xfrm>
                    <a:prstGeom prst="rect">
                      <a:avLst/>
                    </a:prstGeom>
                  </pic:spPr>
                </pic:pic>
              </a:graphicData>
            </a:graphic>
          </wp:inline>
        </w:drawing>
      </w:r>
    </w:p>
    <w:p>
      <w:pPr>
        <w:shd w:val="clear" w:color="auto" w:fill="auto"/>
        <w:spacing w:line="360" w:lineRule="auto"/>
        <w:jc w:val="left"/>
        <w:rPr>
          <w:sz w:val="21"/>
        </w:rPr>
      </w:pPr>
      <w:r>
        <w:rPr>
          <w:sz w:val="21"/>
        </w:rPr>
        <w:t>A．样本中的男生数量多于女生数量</w:t>
      </w:r>
    </w:p>
    <w:p>
      <w:pPr>
        <w:shd w:val="clear" w:color="auto" w:fill="auto"/>
        <w:spacing w:line="360" w:lineRule="auto"/>
        <w:jc w:val="left"/>
        <w:rPr>
          <w:sz w:val="21"/>
        </w:rPr>
      </w:pPr>
      <w:r>
        <w:rPr>
          <w:sz w:val="21"/>
        </w:rPr>
        <w:t>B．样本中喜欢手机支付的数量多于现金支付的数量</w:t>
      </w:r>
    </w:p>
    <w:p>
      <w:pPr>
        <w:shd w:val="clear" w:color="auto" w:fill="auto"/>
        <w:spacing w:line="360" w:lineRule="auto"/>
        <w:jc w:val="left"/>
        <w:rPr>
          <w:sz w:val="21"/>
        </w:rPr>
      </w:pPr>
      <w:r>
        <w:rPr>
          <w:sz w:val="21"/>
        </w:rPr>
        <w:t>C．样本中多数男生喜欢现金支付</w:t>
      </w:r>
    </w:p>
    <w:p>
      <w:pPr>
        <w:shd w:val="clear" w:color="auto" w:fill="auto"/>
        <w:spacing w:line="360" w:lineRule="auto"/>
        <w:jc w:val="left"/>
        <w:rPr>
          <w:sz w:val="21"/>
        </w:rPr>
      </w:pPr>
      <w:r>
        <w:rPr>
          <w:sz w:val="21"/>
        </w:rPr>
        <w:t>D．样本中多数女生喜欢手机支付</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【知识点】等高条形图</w:t>
      </w:r>
    </w:p>
    <w:p>
      <w:pPr>
        <w:shd w:val="clear" w:color="auto" w:fill="auto"/>
        <w:spacing w:line="360" w:lineRule="auto"/>
        <w:jc w:val="left"/>
        <w:rPr>
          <w:sz w:val="21"/>
        </w:rPr>
      </w:pPr>
      <w:r>
        <w:rPr>
          <w:sz w:val="21"/>
        </w:rPr>
        <w:t>【分析】根据两幅图的信息，逐个分析判断即可</w:t>
      </w:r>
    </w:p>
    <w:p>
      <w:pPr>
        <w:shd w:val="clear" w:color="auto" w:fill="auto"/>
        <w:spacing w:line="360" w:lineRule="auto"/>
        <w:jc w:val="left"/>
        <w:rPr>
          <w:sz w:val="21"/>
        </w:rPr>
      </w:pPr>
      <w:r>
        <w:rPr>
          <w:sz w:val="21"/>
        </w:rPr>
        <w:t>【详解】解：对于A，由左图可知，样本中的男生数量多于女生数量，所以A正确；</w:t>
      </w:r>
    </w:p>
    <w:p>
      <w:pPr>
        <w:shd w:val="clear" w:color="auto" w:fill="auto"/>
        <w:spacing w:line="360" w:lineRule="auto"/>
        <w:jc w:val="left"/>
        <w:rPr>
          <w:sz w:val="21"/>
        </w:rPr>
      </w:pPr>
      <w:r>
        <w:rPr>
          <w:sz w:val="21"/>
        </w:rPr>
        <w:t>对于B，由右图可知，样本中喜欢手机支付的数量多于现金支付的数量，所以B正确；</w:t>
      </w:r>
    </w:p>
    <w:p>
      <w:pPr>
        <w:shd w:val="clear" w:color="auto" w:fill="auto"/>
        <w:spacing w:line="360" w:lineRule="auto"/>
        <w:jc w:val="left"/>
        <w:rPr>
          <w:sz w:val="21"/>
        </w:rPr>
      </w:pPr>
      <w:r>
        <w:rPr>
          <w:sz w:val="21"/>
        </w:rPr>
        <w:t>对于C，由右图可知，样本中多数男生喜欢手机支付，所以C错误；</w:t>
      </w:r>
    </w:p>
    <w:p>
      <w:pPr>
        <w:shd w:val="clear" w:color="auto" w:fill="auto"/>
        <w:spacing w:line="360" w:lineRule="auto"/>
        <w:jc w:val="left"/>
        <w:rPr>
          <w:sz w:val="21"/>
        </w:rPr>
      </w:pPr>
      <w:r>
        <w:rPr>
          <w:sz w:val="21"/>
        </w:rPr>
        <w:t>对于D，由右图可知，样本中多数女生喜欢手机支付，所以D正确，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13．下面的等高条形图可以说明的问题是（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firstLine="560"/>
        <w:jc w:val="left"/>
        <w:rPr>
          <w:sz w:val="21"/>
        </w:rPr>
      </w:pPr>
      <w:r>
        <w:rPr>
          <w:rFonts w:ascii="Times New Roman" w:eastAsia="Times New Roman" w:hAnsi="Times New Roman" w:cs="Times New Roman"/>
          <w:strike w:val="0"/>
          <w:kern w:val="0"/>
          <w:sz w:val="24"/>
          <w:szCs w:val="24"/>
          <w:u w:val="none"/>
        </w:rPr>
        <w:drawing>
          <wp:inline>
            <wp:extent cx="2828925" cy="1314450"/>
            <wp:docPr id="100015" name="" descr="@@@11666c47-3a40-4987-b34d-8a77b85b9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828925" cy="1314450"/>
                    </a:xfrm>
                    <a:prstGeom prst="rect">
                      <a:avLst/>
                    </a:prstGeom>
                  </pic:spPr>
                </pic:pic>
              </a:graphicData>
            </a:graphic>
          </wp:inline>
        </w:drawing>
      </w:r>
    </w:p>
    <w:p>
      <w:pPr>
        <w:shd w:val="clear" w:color="auto" w:fill="auto"/>
        <w:spacing w:line="360" w:lineRule="auto"/>
        <w:jc w:val="left"/>
        <w:rPr>
          <w:sz w:val="21"/>
        </w:rPr>
      </w:pPr>
      <w:r>
        <w:rPr>
          <w:sz w:val="21"/>
        </w:rPr>
        <w:t>A．“心脏搭桥”手术和“血管清障”手术对“诱发心脏病”的影响是绝对不同的</w:t>
      </w:r>
    </w:p>
    <w:p>
      <w:pPr>
        <w:shd w:val="clear" w:color="auto" w:fill="auto"/>
        <w:spacing w:line="360" w:lineRule="auto"/>
        <w:jc w:val="left"/>
        <w:rPr>
          <w:sz w:val="21"/>
        </w:rPr>
      </w:pPr>
      <w:r>
        <w:rPr>
          <w:sz w:val="21"/>
        </w:rPr>
        <w:t>B．“心脏搭桥”手术和“血管清障”手术对“诱发心脏病”的影响没有什么不同</w:t>
      </w:r>
    </w:p>
    <w:p>
      <w:pPr>
        <w:shd w:val="clear" w:color="auto" w:fill="auto"/>
        <w:spacing w:line="360" w:lineRule="auto"/>
        <w:jc w:val="left"/>
        <w:rPr>
          <w:sz w:val="21"/>
        </w:rPr>
      </w:pPr>
      <w:r>
        <w:rPr>
          <w:sz w:val="21"/>
        </w:rPr>
        <w:t>C．此等高条形图看不出两种手术有什么不同的地方</w:t>
      </w:r>
    </w:p>
    <w:p>
      <w:pPr>
        <w:shd w:val="clear" w:color="auto" w:fill="auto"/>
        <w:spacing w:line="360" w:lineRule="auto"/>
        <w:jc w:val="left"/>
        <w:rPr>
          <w:sz w:val="21"/>
        </w:rPr>
      </w:pPr>
      <w:r>
        <w:rPr>
          <w:sz w:val="21"/>
        </w:rPr>
        <w:t>D．“心脏搭桥”手术和“血管清障”手术对“诱发心脏病”的影响在某种程度上是不同的，但是没有</w:t>
      </w:r>
      <m:oMathPara>
        <m:oMathParaPr>
          <m:jc m:val="left"/>
        </m:oMathParaPr>
        <m:oMath>
          <m:r>
            <w:rPr>
              <w:rFonts w:ascii="Cambria Math" w:eastAsia="宋体" w:hAnsi="Cambria Math" w:cs="Cambria Math"/>
            </w:rPr>
            <m:t>100</m:t>
          </m:r>
          <m:r>
            <w:rPr>
              <w:rFonts w:ascii="Cambria Math" w:eastAsia="宋体" w:hAnsi="Cambria Math" w:cs="Cambria Math"/>
            </w:rPr>
            <m:t>%</m:t>
          </m:r>
        </m:oMath>
      </m:oMathPara>
      <w:r>
        <w:rPr>
          <w:sz w:val="21"/>
        </w:rPr>
        <w:t>的把握</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【知识点】等高条形图</w:t>
      </w:r>
    </w:p>
    <w:p>
      <w:pPr>
        <w:shd w:val="clear" w:color="auto" w:fill="auto"/>
        <w:spacing w:line="360" w:lineRule="auto"/>
        <w:jc w:val="left"/>
        <w:rPr>
          <w:sz w:val="21"/>
        </w:rPr>
      </w:pPr>
      <w:r>
        <w:rPr>
          <w:sz w:val="21"/>
        </w:rPr>
        <w:t>【分析】根据等高条形图判断即可得正确答案.</w:t>
      </w:r>
    </w:p>
    <w:p>
      <w:pPr>
        <w:shd w:val="clear" w:color="auto" w:fill="auto"/>
        <w:spacing w:line="360" w:lineRule="auto"/>
        <w:jc w:val="left"/>
        <w:rPr>
          <w:sz w:val="21"/>
        </w:rPr>
      </w:pPr>
      <w:r>
        <w:rPr>
          <w:sz w:val="21"/>
        </w:rPr>
        <w:t>【详解】由等高条形图可知“心脏搭桥”手术和“血管清障”手术对“诱发心脏病”的频率不同，</w:t>
      </w:r>
    </w:p>
    <w:p>
      <w:pPr>
        <w:shd w:val="clear" w:color="auto" w:fill="auto"/>
        <w:spacing w:line="360" w:lineRule="auto"/>
        <w:jc w:val="left"/>
        <w:rPr>
          <w:sz w:val="21"/>
        </w:rPr>
      </w:pPr>
      <w:r>
        <w:rPr>
          <w:sz w:val="21"/>
        </w:rPr>
        <w:t>所以“心脏搭桥”手术和“血管清障”手术对“诱发心脏病”的影响在某种程度上是不同的，但是没有</w:t>
      </w:r>
      <m:oMathPara>
        <m:oMathParaPr>
          <m:jc m:val="left"/>
        </m:oMathParaPr>
        <m:oMath>
          <m:r>
            <w:rPr>
              <w:rFonts w:ascii="Cambria Math" w:eastAsia="宋体" w:hAnsi="Cambria Math" w:cs="Cambria Math"/>
            </w:rPr>
            <m:t>100</m:t>
          </m:r>
          <m:r>
            <w:rPr>
              <w:rFonts w:ascii="Cambria Math" w:eastAsia="宋体" w:hAnsi="Cambria Math" w:cs="Cambria Math"/>
            </w:rPr>
            <m:t>%</m:t>
          </m:r>
        </m:oMath>
      </m:oMathPara>
      <w:r>
        <w:rPr>
          <w:sz w:val="21"/>
        </w:rPr>
        <w:t>的把握，所以选项D正确，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网络对现代人的生活影响较大，尤其是对青少年，为了解网络对中学生学习成绩的影响，某地区教育主管部门从辖区初中生中随机抽取了1000人调查，发现其中经常上网的有200人，这200人中有80人期末考试不及格，而另外800人中有120人不及格．请利用等高堆积条形图判断学生学习成绩与经常上网是否有关．</w:t>
      </w:r>
    </w:p>
    <w:p>
      <w:pPr>
        <w:shd w:val="clear" w:color="auto" w:fill="auto"/>
        <w:spacing w:line="360" w:lineRule="auto"/>
        <w:jc w:val="left"/>
        <w:rPr>
          <w:sz w:val="21"/>
        </w:rPr>
      </w:pPr>
      <w:r>
        <w:rPr>
          <w:sz w:val="21"/>
        </w:rPr>
        <w:t>【答案】可以认为学习成绩与经常上网有关．</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【知识点】等高条形图、完善列联表</w:t>
      </w:r>
    </w:p>
    <w:p>
      <w:pPr>
        <w:shd w:val="clear" w:color="auto" w:fill="auto"/>
        <w:spacing w:line="360" w:lineRule="auto"/>
        <w:jc w:val="left"/>
        <w:rPr>
          <w:sz w:val="21"/>
        </w:rPr>
      </w:pPr>
      <w:r>
        <w:rPr>
          <w:sz w:val="21"/>
        </w:rPr>
        <w:t>【分析】根据已知条件列出列联表，计算经常上网和不经常上网的学生的期末考试不及格和及格的频率，画出等高堆积条形图，从图观察看发现经常上网学生的成绩不及格的频率明显高于不经常上网学生的成绩不及格的频率，即得结论.</w:t>
      </w:r>
    </w:p>
    <w:p>
      <w:pPr>
        <w:shd w:val="clear" w:color="auto" w:fill="auto"/>
        <w:spacing w:line="360" w:lineRule="auto"/>
        <w:jc w:val="left"/>
        <w:rPr>
          <w:sz w:val="21"/>
        </w:rPr>
      </w:pPr>
      <w:r>
        <w:rPr>
          <w:sz w:val="21"/>
        </w:rPr>
        <w:t>【详解】根据题目所给的数据得到如下</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w:t>
      </w:r>
    </w:p>
    <w:tbl>
      <w:tblPr>
        <w:tblStyle w:val="TableNormal"/>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16"/>
        <w:gridCol w:w="1222"/>
        <w:gridCol w:w="1297"/>
        <w:gridCol w:w="1135"/>
      </w:tblGrid>
      <w:tr>
        <w:tblPrEx>
          <w:tblW w:w="5190" w:type="dxa"/>
        </w:tblPrEx>
        <w:trPr>
          <w:cantSplit w:val="0"/>
        </w:trPr>
        <w:tc>
          <w:tcPr>
            <w:tcW w:w="150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学习成绩</w:t>
            </w:r>
          </w:p>
        </w:tc>
        <w:tc>
          <w:tcPr>
            <w:tcW w:w="255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上网</w:t>
            </w:r>
          </w:p>
        </w:tc>
        <w:tc>
          <w:tcPr>
            <w:tcW w:w="114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blPrEx>
          <w:tblW w:w="519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经常</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不经常</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5190"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不及格</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200</w:t>
            </w:r>
          </w:p>
        </w:tc>
      </w:tr>
      <w:tr>
        <w:tblPrEx>
          <w:tblW w:w="5190"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及格</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120</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680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800</w:t>
            </w:r>
          </w:p>
        </w:tc>
      </w:tr>
      <w:tr>
        <w:tblPrEx>
          <w:tblW w:w="5190"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200</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1000</w:t>
            </w:r>
          </w:p>
        </w:tc>
      </w:tr>
    </w:tbl>
    <w:p>
      <w:pPr>
        <w:shd w:val="clear" w:color="auto" w:fill="auto"/>
        <w:spacing w:line="360" w:lineRule="auto"/>
        <w:jc w:val="left"/>
        <w:rPr>
          <w:sz w:val="21"/>
        </w:rPr>
      </w:pPr>
      <w:r>
        <w:rPr>
          <w:sz w:val="21"/>
        </w:rPr>
        <w:t>经常上网的学生中期末考试不及格和及格的频率分别为</w:t>
      </w:r>
      <m:oMathPara>
        <m:oMathParaPr>
          <m:jc m:val="left"/>
        </m:oMathParaPr>
        <m:oMath>
          <m:f>
            <m:num>
              <m:r>
                <w:rPr>
                  <w:rFonts w:ascii="Cambria Math" w:eastAsia="宋体" w:hAnsi="Cambria Math" w:cs="Cambria Math"/>
                </w:rPr>
                <m:t>80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0.4</m:t>
          </m:r>
        </m:oMath>
      </m:oMathPara>
      <w:r>
        <w:rPr>
          <w:sz w:val="21"/>
        </w:rPr>
        <w:t>和</w:t>
      </w:r>
      <m:oMathPara>
        <m:oMathParaPr>
          <m:jc m:val="left"/>
        </m:oMathParaPr>
        <m:oMath>
          <m:f>
            <m:num>
              <m:r>
                <w:rPr>
                  <w:rFonts w:ascii="Cambria Math" w:eastAsia="宋体" w:hAnsi="Cambria Math" w:cs="Cambria Math"/>
                </w:rPr>
                <m:t>120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0.6</m:t>
          </m:r>
        </m:oMath>
      </m:oMathPara>
      <w:r>
        <w:rPr>
          <w:sz w:val="21"/>
        </w:rPr>
        <w:t>；</w:t>
      </w:r>
    </w:p>
    <w:p>
      <w:pPr>
        <w:shd w:val="clear" w:color="auto" w:fill="auto"/>
        <w:spacing w:line="360" w:lineRule="auto"/>
        <w:jc w:val="left"/>
        <w:rPr>
          <w:sz w:val="21"/>
        </w:rPr>
      </w:pPr>
      <w:r>
        <w:rPr>
          <w:sz w:val="21"/>
        </w:rPr>
        <w:t>不经常上网的学生中期末考试不及格和及格的频率分别为</w:t>
      </w:r>
      <m:oMathPara>
        <m:oMathParaPr>
          <m:jc m:val="left"/>
        </m:oMathParaPr>
        <m:oMath>
          <m:f>
            <m:num>
              <m:r>
                <w:rPr>
                  <w:rFonts w:ascii="Cambria Math" w:eastAsia="宋体" w:hAnsi="Cambria Math" w:cs="Cambria Math"/>
                </w:rPr>
                <m:t>120</m:t>
              </m:r>
            </m:num>
            <m:den>
              <m:r>
                <w:rPr>
                  <w:rFonts w:ascii="Cambria Math" w:eastAsia="宋体" w:hAnsi="Cambria Math" w:cs="Cambria Math"/>
                </w:rPr>
                <m:t>800</m:t>
              </m:r>
            </m:den>
          </m:f>
          <m:r>
            <w:rPr>
              <w:rFonts w:ascii="Cambria Math" w:eastAsia="宋体" w:hAnsi="Cambria Math" w:cs="Cambria Math"/>
            </w:rPr>
            <m:t>=</m:t>
          </m:r>
          <m:r>
            <w:rPr>
              <w:rFonts w:ascii="Cambria Math" w:eastAsia="宋体" w:hAnsi="Cambria Math" w:cs="Cambria Math"/>
            </w:rPr>
            <m:t>0.15</m:t>
          </m:r>
        </m:oMath>
      </m:oMathPara>
      <w:r>
        <w:rPr>
          <w:sz w:val="21"/>
        </w:rPr>
        <w:t>和</w:t>
      </w:r>
      <m:oMathPara>
        <m:oMathParaPr>
          <m:jc m:val="left"/>
        </m:oMathParaPr>
        <m:oMath>
          <m:f>
            <m:num>
              <m:r>
                <w:rPr>
                  <w:rFonts w:ascii="Cambria Math" w:eastAsia="宋体" w:hAnsi="Cambria Math" w:cs="Cambria Math"/>
                </w:rPr>
                <m:t>680</m:t>
              </m:r>
            </m:num>
            <m:den>
              <m:r>
                <w:rPr>
                  <w:rFonts w:ascii="Cambria Math" w:eastAsia="宋体" w:hAnsi="Cambria Math" w:cs="Cambria Math"/>
                </w:rPr>
                <m:t>800</m:t>
              </m:r>
            </m:den>
          </m:f>
          <m:r>
            <w:rPr>
              <w:rFonts w:ascii="Cambria Math" w:eastAsia="宋体" w:hAnsi="Cambria Math" w:cs="Cambria Math"/>
            </w:rPr>
            <m:t>=</m:t>
          </m:r>
          <m:r>
            <w:rPr>
              <w:rFonts w:ascii="Cambria Math" w:eastAsia="宋体" w:hAnsi="Cambria Math" w:cs="Cambria Math"/>
            </w:rPr>
            <m:t>0.85</m:t>
          </m:r>
        </m:oMath>
      </m:oMathPara>
      <w:r>
        <w:rPr>
          <w:sz w:val="21"/>
        </w:rPr>
        <w:t>．</w:t>
      </w:r>
    </w:p>
    <w:p>
      <w:pPr>
        <w:shd w:val="clear" w:color="auto" w:fill="auto"/>
        <w:spacing w:line="360" w:lineRule="auto"/>
        <w:jc w:val="left"/>
        <w:rPr>
          <w:sz w:val="21"/>
        </w:rPr>
      </w:pPr>
      <w:r>
        <w:rPr>
          <w:sz w:val="21"/>
        </w:rPr>
        <w:t>得出等高堆积条形图如图所示：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81200" cy="1838325"/>
            <wp:docPr id="100017" name="" descr="@@@8f898bfb8363495c9b8caa271894e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981200" cy="1838325"/>
                    </a:xfrm>
                    <a:prstGeom prst="rect">
                      <a:avLst/>
                    </a:prstGeom>
                  </pic:spPr>
                </pic:pic>
              </a:graphicData>
            </a:graphic>
          </wp:inline>
        </w:drawing>
      </w:r>
    </w:p>
    <w:p>
      <w:pPr>
        <w:shd w:val="clear" w:color="auto" w:fill="auto"/>
        <w:spacing w:line="360" w:lineRule="auto"/>
        <w:jc w:val="left"/>
        <w:rPr>
          <w:sz w:val="21"/>
        </w:rPr>
      </w:pPr>
      <w:r>
        <w:rPr>
          <w:sz w:val="21"/>
        </w:rPr>
        <w:t>比较图中阴影部分的高度可以发现经常上网学生的成绩不及格的频率明显高于不经常上网学生的成绩不及格的频率，因此可以认为学习成绩与经常上网有关．</w:t>
      </w:r>
    </w:p>
    <w:p>
      <w:pPr>
        <w:shd w:val="clear" w:color="auto" w:fill="auto"/>
        <w:spacing w:line="360" w:lineRule="auto"/>
        <w:jc w:val="left"/>
        <w:rPr>
          <w:sz w:val="21"/>
        </w:rPr>
      </w:pPr>
      <w:r>
        <w:rPr>
          <w:b/>
          <w:sz w:val="24"/>
        </w:rPr>
        <w:t>二、独立性检验</w:t>
      </w:r>
    </w:p>
    <w:p>
      <w:pPr>
        <w:shd w:val="clear" w:color="auto" w:fill="auto"/>
        <w:spacing w:line="360" w:lineRule="auto"/>
        <w:jc w:val="left"/>
        <w:rPr>
          <w:sz w:val="21"/>
        </w:rPr>
      </w:pPr>
      <w:r>
        <w:rPr>
          <w:b/>
          <w:sz w:val="24"/>
        </w:rPr>
        <w:t>（一）独立性检验的概念及辨析</w:t>
      </w:r>
    </w:p>
    <w:p>
      <w:pPr>
        <w:shd w:val="clear" w:color="auto" w:fill="auto"/>
        <w:spacing w:line="360" w:lineRule="auto"/>
        <w:jc w:val="left"/>
        <w:rPr>
          <w:sz w:val="21"/>
        </w:rPr>
      </w:pPr>
      <w:r>
        <w:rPr>
          <w:sz w:val="21"/>
        </w:rPr>
        <w:t>15．为调查中学生近视情况，测得某校150名男生中有80名近视，在140名女生中有70名近视.在检验这些学生眼睛近视是否与性别有关时，用下列哪种方法最有说服力（</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A．回归分析</w:t>
      </w:r>
      <w:r>
        <w:rPr>
          <w:sz w:val="21"/>
        </w:rPr>
        <w:tab/>
      </w:r>
      <w:r>
        <w:rPr>
          <w:sz w:val="21"/>
        </w:rPr>
        <w:t>B．均值与方差</w:t>
      </w:r>
      <w:r>
        <w:rPr>
          <w:sz w:val="21"/>
        </w:rPr>
        <w:tab/>
      </w:r>
      <w:r>
        <w:rPr>
          <w:sz w:val="21"/>
        </w:rPr>
        <w:t>C．独立性检验</w:t>
      </w:r>
      <w:r>
        <w:rPr>
          <w:sz w:val="21"/>
        </w:rPr>
        <w:tab/>
      </w:r>
      <w:r>
        <w:rPr>
          <w:sz w:val="21"/>
        </w:rPr>
        <w:t>D．概率</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【知识点】独立性检验的概念及辨析</w:t>
      </w:r>
    </w:p>
    <w:p>
      <w:pPr>
        <w:shd w:val="clear" w:color="auto" w:fill="auto"/>
        <w:spacing w:line="360" w:lineRule="auto"/>
        <w:jc w:val="left"/>
        <w:rPr>
          <w:sz w:val="21"/>
        </w:rPr>
      </w:pPr>
      <w:r>
        <w:rPr>
          <w:sz w:val="21"/>
        </w:rPr>
        <w:t>【分析】“近视”与“性别”是两类变量，其是否有关，应用独立性检验判断．</w:t>
      </w:r>
    </w:p>
    <w:p>
      <w:pPr>
        <w:shd w:val="clear" w:color="auto" w:fill="auto"/>
        <w:spacing w:line="360" w:lineRule="auto"/>
        <w:jc w:val="left"/>
        <w:rPr>
          <w:sz w:val="21"/>
        </w:rPr>
      </w:pPr>
      <w:r>
        <w:rPr>
          <w:sz w:val="21"/>
        </w:rPr>
        <w:t>【详解】</w:t>
      </w:r>
      <w:r>
        <w:rPr>
          <w:rFonts w:ascii="新宋体" w:eastAsia="新宋体" w:hAnsi="新宋体" w:cs="新宋体"/>
          <w:sz w:val="21"/>
        </w:rPr>
        <w:t>分析已知条件，易得如下表格：</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3"/>
        <w:gridCol w:w="692"/>
        <w:gridCol w:w="692"/>
        <w:gridCol w:w="6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新宋体" w:eastAsia="新宋体" w:hAnsi="新宋体" w:cs="新宋体"/>
                <w:sz w:val="21"/>
              </w:rPr>
              <w:t>男生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新宋体" w:eastAsia="新宋体" w:hAnsi="新宋体" w:cs="新宋体"/>
                <w:sz w:val="21"/>
              </w:rPr>
              <w:t>女生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新宋体" w:eastAsia="新宋体" w:hAnsi="新宋体" w:cs="新宋体"/>
                <w:sz w:val="21"/>
              </w:rPr>
              <w:t>合计</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新宋体" w:eastAsia="新宋体" w:hAnsi="新宋体" w:cs="新宋体"/>
                <w:sz w:val="21"/>
              </w:rPr>
              <w:t>近视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新宋体" w:eastAsia="新宋体" w:hAnsi="新宋体" w:cs="新宋体"/>
                <w:sz w:val="21"/>
              </w:rPr>
              <w:t>不近视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140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新宋体" w:eastAsia="新宋体" w:hAnsi="新宋体" w:cs="新宋体"/>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290</w:t>
            </w:r>
          </w:p>
        </w:tc>
      </w:tr>
    </w:tbl>
    <w:p>
      <w:pPr>
        <w:shd w:val="clear" w:color="auto" w:fill="auto"/>
        <w:spacing w:line="360" w:lineRule="auto"/>
        <w:jc w:val="left"/>
        <w:rPr>
          <w:sz w:val="21"/>
        </w:rPr>
      </w:pPr>
      <w:r>
        <w:rPr>
          <w:rFonts w:ascii="新宋体" w:eastAsia="新宋体" w:hAnsi="新宋体" w:cs="新宋体"/>
          <w:sz w:val="21"/>
        </w:rPr>
        <w:t>根据列联表可得：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rFonts w:ascii="新宋体" w:eastAsia="新宋体" w:hAnsi="新宋体" w:cs="新宋体"/>
          <w:sz w:val="21"/>
        </w:rPr>
        <w:t>，再根据与临界值比较，检验这些中学生眼睛近视是否与性别有关，故利用独立性检验的方法最有说服力．</w:t>
      </w:r>
    </w:p>
    <w:p>
      <w:pPr>
        <w:shd w:val="clear" w:color="auto" w:fill="auto"/>
        <w:spacing w:line="360" w:lineRule="auto"/>
        <w:jc w:val="left"/>
        <w:rPr>
          <w:sz w:val="21"/>
        </w:rPr>
      </w:pPr>
      <w:r>
        <w:rPr>
          <w:rFonts w:ascii="新宋体" w:eastAsia="新宋体" w:hAnsi="新宋体" w:cs="新宋体"/>
          <w:sz w:val="21"/>
        </w:rPr>
        <w:t>故选：</w:t>
      </w:r>
      <w:r>
        <w:rPr>
          <w:sz w:val="21"/>
        </w:rPr>
        <w:t>C</w:t>
      </w:r>
      <w:r>
        <w:rPr>
          <w:rFonts w:ascii="新宋体" w:eastAsia="新宋体" w:hAnsi="新宋体" w:cs="新宋体"/>
          <w:sz w:val="21"/>
        </w:rPr>
        <w:t>．</w:t>
      </w:r>
    </w:p>
    <w:p>
      <w:pPr>
        <w:shd w:val="clear" w:color="auto" w:fill="auto"/>
        <w:spacing w:line="360" w:lineRule="auto"/>
        <w:jc w:val="left"/>
        <w:rPr>
          <w:sz w:val="21"/>
        </w:rPr>
      </w:pPr>
      <w:r>
        <w:rPr>
          <w:sz w:val="21"/>
        </w:rPr>
        <w:t>16．(多选)下列关于回归分析与独立性检验的说法不正确的是（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A．回归分析和独立性检验没有什么区别</w:t>
      </w:r>
    </w:p>
    <w:p>
      <w:pPr>
        <w:shd w:val="clear" w:color="auto" w:fill="auto"/>
        <w:spacing w:line="360" w:lineRule="auto"/>
        <w:jc w:val="left"/>
        <w:rPr>
          <w:sz w:val="21"/>
        </w:rPr>
      </w:pPr>
      <w:r>
        <w:rPr>
          <w:sz w:val="21"/>
        </w:rPr>
        <w:t>B．回归分析是对两个变量准确关系的分析，而独立性检验是分析两个变量之间的不确定关系</w:t>
      </w:r>
    </w:p>
    <w:p>
      <w:pPr>
        <w:shd w:val="clear" w:color="auto" w:fill="auto"/>
        <w:spacing w:line="360" w:lineRule="auto"/>
        <w:jc w:val="left"/>
        <w:rPr>
          <w:sz w:val="21"/>
        </w:rPr>
      </w:pPr>
      <w:r>
        <w:rPr>
          <w:sz w:val="21"/>
        </w:rPr>
        <w:t>C．回归分析研究两个变量之间的相关关系，独立性检验是对两个变量是否具有某种关系的一种检验</w:t>
      </w:r>
    </w:p>
    <w:p>
      <w:pPr>
        <w:shd w:val="clear" w:color="auto" w:fill="auto"/>
        <w:spacing w:line="360" w:lineRule="auto"/>
        <w:jc w:val="left"/>
        <w:rPr>
          <w:sz w:val="21"/>
        </w:rPr>
      </w:pPr>
      <w:r>
        <w:rPr>
          <w:sz w:val="21"/>
        </w:rPr>
        <w:t>D．独立性检验可以100%确定两个变量之间是否具有某种关系</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【知识点】线性回归、独立性检验的概念及辨析</w:t>
      </w:r>
    </w:p>
    <w:p>
      <w:pPr>
        <w:shd w:val="clear" w:color="auto" w:fill="auto"/>
        <w:spacing w:line="360" w:lineRule="auto"/>
        <w:jc w:val="left"/>
        <w:rPr>
          <w:sz w:val="21"/>
        </w:rPr>
      </w:pPr>
      <w:r>
        <w:rPr>
          <w:sz w:val="21"/>
        </w:rPr>
        <w:t>【分析】利用回归分析和独立性检验的概念分析即得解</w:t>
      </w:r>
    </w:p>
    <w:p>
      <w:pPr>
        <w:shd w:val="clear" w:color="auto" w:fill="auto"/>
        <w:spacing w:line="360" w:lineRule="auto"/>
        <w:jc w:val="left"/>
        <w:rPr>
          <w:sz w:val="21"/>
        </w:rPr>
      </w:pPr>
      <w:r>
        <w:rPr>
          <w:sz w:val="21"/>
        </w:rPr>
        <w:t>【详解】由回归分析及独立性检验的特点知：</w:t>
      </w:r>
    </w:p>
    <w:p>
      <w:pPr>
        <w:shd w:val="clear" w:color="auto" w:fill="auto"/>
        <w:spacing w:line="360" w:lineRule="auto"/>
        <w:jc w:val="left"/>
        <w:rPr>
          <w:sz w:val="21"/>
        </w:rPr>
      </w:pPr>
      <w:r>
        <w:rPr>
          <w:sz w:val="21"/>
        </w:rPr>
        <w:t>回归分析和独立性检验是两种不同的统计分析，故A错误；</w:t>
      </w:r>
    </w:p>
    <w:p>
      <w:pPr>
        <w:shd w:val="clear" w:color="auto" w:fill="auto"/>
        <w:spacing w:line="360" w:lineRule="auto"/>
        <w:jc w:val="left"/>
        <w:rPr>
          <w:sz w:val="21"/>
        </w:rPr>
      </w:pPr>
      <w:r>
        <w:rPr>
          <w:sz w:val="21"/>
        </w:rPr>
        <w:t>回归分析研究两个变量之间的相关关系，独立性检验是对两个变量是否具有某种关系的一种检验，故B错误，C正确；</w:t>
      </w:r>
    </w:p>
    <w:p>
      <w:pPr>
        <w:shd w:val="clear" w:color="auto" w:fill="auto"/>
        <w:spacing w:line="360" w:lineRule="auto"/>
        <w:jc w:val="left"/>
        <w:rPr>
          <w:sz w:val="21"/>
        </w:rPr>
      </w:pPr>
      <w:r>
        <w:rPr>
          <w:sz w:val="21"/>
        </w:rPr>
        <w:t>独立性检验不能100%确定两个变量之间是否具有某种关系，故D错误</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17．为了探究电离辐射的剂量与人体的受损程度是否有关，用两种不同剂量的电离辐射照射小白鼠（可用小白鼠模拟人体受损程度）．在照射后14天内的结果如表所示：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4"/>
        <w:gridCol w:w="692"/>
        <w:gridCol w:w="692"/>
        <w:gridCol w:w="6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死亡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存活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第一种剂量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第二种剂量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r>
    </w:tbl>
    <w:p>
      <w:pPr>
        <w:shd w:val="clear" w:color="auto" w:fill="auto"/>
        <w:spacing w:line="360" w:lineRule="auto"/>
        <w:jc w:val="left"/>
        <w:rPr>
          <w:sz w:val="21"/>
        </w:rPr>
      </w:pPr>
      <w:r>
        <w:rPr>
          <w:sz w:val="21"/>
        </w:rPr>
        <w:t>进行统计分析时的统计假设是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【答案】电离辐射的剂量与人体受损程度无关</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【知识点】独立性检验的概念及辨析、独立性检验的基本思想</w:t>
      </w:r>
    </w:p>
    <w:p>
      <w:pPr>
        <w:shd w:val="clear" w:color="auto" w:fill="auto"/>
        <w:spacing w:line="360" w:lineRule="auto"/>
        <w:jc w:val="left"/>
        <w:rPr>
          <w:sz w:val="21"/>
        </w:rPr>
      </w:pPr>
      <w:r>
        <w:rPr>
          <w:sz w:val="21"/>
        </w:rPr>
        <w:t>【详解】根据独立性检验知，应假设“电离辐射的剂量与人体受损程度无关”．</w:t>
      </w:r>
    </w:p>
    <w:p>
      <w:pPr>
        <w:shd w:val="clear" w:color="auto" w:fill="auto"/>
        <w:spacing w:line="360" w:lineRule="auto"/>
        <w:jc w:val="left"/>
        <w:rPr>
          <w:sz w:val="21"/>
        </w:rPr>
      </w:pPr>
      <w:r>
        <w:rPr>
          <w:sz w:val="21"/>
        </w:rPr>
        <w:t>18．根据下表：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745"/>
        <w:gridCol w:w="745"/>
        <w:gridCol w:w="85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0</m:t>
                        </m:r>
                      </m:sub>
                    </m:sSub>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k</m:t>
                    </m:r>
                  </m:e>
                  <m:sub>
                    <m:r>
                      <m:rPr>
                        <m:nor/>
                      </m:rPr>
                      <w:rPr>
                        <w:rFonts w:ascii="Cambria Math" w:eastAsia="宋体" w:hAnsi="Cambria Math" w:cs="Cambria Math"/>
                      </w:rPr>
                      <m:t>0</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10.828</w:t>
            </w:r>
          </w:p>
        </w:tc>
      </w:tr>
    </w:tbl>
    <w:p>
      <w:pPr>
        <w:shd w:val="clear" w:color="auto" w:fill="auto"/>
        <w:spacing w:line="360" w:lineRule="auto"/>
        <w:jc w:val="left"/>
        <w:rPr>
          <w:sz w:val="21"/>
        </w:rPr>
      </w:pPr>
      <w:r>
        <w:rPr>
          <w:sz w:val="21"/>
        </w:rPr>
        <w:t>若有99%的把握说事件</w:t>
      </w:r>
      <w:r>
        <w:rPr>
          <w:rFonts w:ascii="Times New Roman" w:eastAsia="Times New Roman" w:hAnsi="Times New Roman" w:cs="Times New Roman"/>
          <w:i/>
          <w:sz w:val="21"/>
        </w:rPr>
        <w:t>A</w:t>
      </w:r>
      <w:r>
        <w:rPr>
          <w:sz w:val="21"/>
        </w:rPr>
        <w:t>与事件</w:t>
      </w:r>
      <w:r>
        <w:rPr>
          <w:rFonts w:ascii="Times New Roman" w:eastAsia="Times New Roman" w:hAnsi="Times New Roman" w:cs="Times New Roman"/>
          <w:i/>
          <w:sz w:val="21"/>
        </w:rPr>
        <w:t>B</w:t>
      </w:r>
      <w:r>
        <w:rPr>
          <w:sz w:val="21"/>
        </w:rPr>
        <w:t>有关，那么具体算出</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的观测值</w:t>
      </w:r>
      <w:r>
        <w:rPr>
          <w:rFonts w:ascii="Times New Roman" w:eastAsia="Times New Roman" w:hAnsi="Times New Roman" w:cs="Times New Roman"/>
          <w:i/>
          <w:sz w:val="21"/>
        </w:rPr>
        <w:t>k</w:t>
      </w:r>
      <w:r>
        <w:rPr>
          <w:sz w:val="21"/>
        </w:rPr>
        <w:t>一定满足（</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10.828</m:t>
          </m:r>
        </m:oMath>
      </m:oMathPara>
      <w:r>
        <w:rPr>
          <w:sz w:val="21"/>
        </w:rPr>
        <w:tab/>
      </w:r>
      <w:r>
        <w:rPr>
          <w:sz w:val="21"/>
        </w:rPr>
        <w:t>B．</w:t>
      </w:r>
      <m:oMathPara>
        <m:oMathParaPr>
          <m:jc m:val="left"/>
        </m:oMathParaPr>
        <m:oMath>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10.828</m:t>
          </m:r>
        </m:oMath>
      </m:oMathPara>
      <w:r>
        <w:rPr>
          <w:sz w:val="21"/>
        </w:rPr>
        <w:tab/>
      </w:r>
      <w:r>
        <w:rPr>
          <w:sz w:val="21"/>
        </w:rPr>
        <w:t>C．</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6.635</m:t>
          </m:r>
        </m:oMath>
      </m:oMathPara>
      <w:r>
        <w:rPr>
          <w:sz w:val="21"/>
        </w:rPr>
        <w:tab/>
      </w:r>
      <w:r>
        <w:rPr>
          <w:sz w:val="21"/>
        </w:rPr>
        <w:t>D．</w:t>
      </w:r>
      <m:oMathPara>
        <m:oMathParaPr>
          <m:jc m:val="left"/>
        </m:oMathParaPr>
        <m:oMath>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6.635</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【知识点】独立性检验的概念及辨析</w:t>
      </w:r>
    </w:p>
    <w:p>
      <w:pPr>
        <w:shd w:val="clear" w:color="auto" w:fill="auto"/>
        <w:spacing w:line="360" w:lineRule="auto"/>
        <w:jc w:val="left"/>
        <w:rPr>
          <w:sz w:val="21"/>
        </w:rPr>
      </w:pPr>
      <w:r>
        <w:rPr>
          <w:sz w:val="21"/>
        </w:rPr>
        <w:t>【分析】根据独立性检验的定义可得选项.</w:t>
      </w:r>
    </w:p>
    <w:p>
      <w:pPr>
        <w:shd w:val="clear" w:color="auto" w:fill="auto"/>
        <w:spacing w:line="360" w:lineRule="auto"/>
        <w:jc w:val="left"/>
        <w:rPr>
          <w:sz w:val="21"/>
        </w:rPr>
      </w:pPr>
      <w:r>
        <w:rPr>
          <w:sz w:val="21"/>
        </w:rPr>
        <w:t>【详解】解：因为有99%的把握说事件</w:t>
      </w:r>
      <w:r>
        <w:rPr>
          <w:rFonts w:ascii="Times New Roman" w:eastAsia="Times New Roman" w:hAnsi="Times New Roman" w:cs="Times New Roman"/>
          <w:i/>
          <w:sz w:val="21"/>
        </w:rPr>
        <w:t>A</w:t>
      </w:r>
      <w:r>
        <w:rPr>
          <w:sz w:val="21"/>
        </w:rPr>
        <w:t>与事件</w:t>
      </w:r>
      <w:r>
        <w:rPr>
          <w:rFonts w:ascii="Times New Roman" w:eastAsia="Times New Roman" w:hAnsi="Times New Roman" w:cs="Times New Roman"/>
          <w:i/>
          <w:sz w:val="21"/>
        </w:rPr>
        <w:t>B</w:t>
      </w:r>
      <w:r>
        <w:rPr>
          <w:sz w:val="21"/>
        </w:rPr>
        <w:t>有关，所以有</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99</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0</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6.635</m:t>
              </m:r>
            </m:e>
          </m:d>
          <m:r>
            <w:rPr>
              <w:rFonts w:ascii="Cambria Math" w:eastAsia="宋体" w:hAnsi="Cambria Math" w:cs="Cambria Math"/>
            </w:rPr>
            <m:t>=</m:t>
          </m:r>
          <m:r>
            <w:rPr>
              <w:rFonts w:ascii="Cambria Math" w:eastAsia="宋体" w:hAnsi="Cambria Math" w:cs="Cambria Math"/>
            </w:rPr>
            <m:t>0.01</m:t>
          </m:r>
        </m:oMath>
      </m:oMathPara>
      <w:r>
        <w:rPr>
          <w:sz w:val="21"/>
        </w:rPr>
        <w:t>，所以观测值</w:t>
      </w:r>
      <w:r>
        <w:rPr>
          <w:rFonts w:ascii="Times New Roman" w:eastAsia="Times New Roman" w:hAnsi="Times New Roman" w:cs="Times New Roman"/>
          <w:i/>
          <w:sz w:val="21"/>
        </w:rPr>
        <w:t>k</w:t>
      </w:r>
      <w:r>
        <w:rPr>
          <w:sz w:val="21"/>
        </w:rPr>
        <w:t>一定满足</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6.635</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19．根据分类变量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的观察数据，计算得到</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2.974</m:t>
          </m:r>
        </m:oMath>
      </m:oMathPara>
      <w:r>
        <w:rPr>
          <w:sz w:val="21"/>
        </w:rPr>
        <w:t>，依据下表给出的</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独立性检验中的小概率值和相应的临界值，作出下列判断，正确的是（</w:t>
      </w:r>
      <w:r>
        <w:rPr>
          <w:rFonts w:ascii="Times New Roman" w:eastAsia="Times New Roman" w:hAnsi="Times New Roman" w:cs="Times New Roman"/>
          <w:kern w:val="0"/>
          <w:sz w:val="24"/>
          <w:szCs w:val="24"/>
        </w:rPr>
        <w:t>    </w:t>
      </w:r>
      <w:r>
        <w:rPr>
          <w:sz w:val="21"/>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66"/>
        <w:gridCol w:w="1384"/>
        <w:gridCol w:w="1384"/>
        <w:gridCol w:w="1384"/>
        <w:gridCol w:w="1384"/>
        <w:gridCol w:w="1388"/>
      </w:tblGrid>
      <w:tr>
        <w:tblPrEx>
          <w:tblW w:w="5000" w:type="pct"/>
        </w:tblPrEx>
        <w:trPr>
          <w:cantSplit w:val="0"/>
        </w:trPr>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e>
                </m:d>
              </m:oMath>
            </m:oMathPara>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0.01</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0.005</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0.001</w:t>
            </w:r>
          </w:p>
        </w:tc>
      </w:tr>
      <w:tr>
        <w:tblPrEx>
          <w:tblW w:w="5000" w:type="pct"/>
        </w:tblPrEx>
        <w:trPr>
          <w:cantSplit w:val="0"/>
        </w:trPr>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k</m:t>
                </m:r>
              </m:oMath>
            </m:oMathPara>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2.706</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3.841</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6.635</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7.879</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10.828</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A．有95%的把握认为变量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独立</w:t>
      </w:r>
    </w:p>
    <w:p>
      <w:pPr>
        <w:shd w:val="clear" w:color="auto" w:fill="auto"/>
        <w:spacing w:line="360" w:lineRule="auto"/>
        <w:jc w:val="left"/>
        <w:rPr>
          <w:sz w:val="21"/>
        </w:rPr>
      </w:pPr>
      <w:r>
        <w:rPr>
          <w:sz w:val="21"/>
        </w:rPr>
        <w:t>B．有95%的把握认为变量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不独立</w:t>
      </w:r>
    </w:p>
    <w:p>
      <w:pPr>
        <w:shd w:val="clear" w:color="auto" w:fill="auto"/>
        <w:spacing w:line="360" w:lineRule="auto"/>
        <w:jc w:val="left"/>
        <w:rPr>
          <w:sz w:val="21"/>
        </w:rPr>
      </w:pPr>
      <w:r>
        <w:rPr>
          <w:sz w:val="21"/>
        </w:rPr>
        <w:t>C．变量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独立，这个结论犯错误的概率不超过10%</w:t>
      </w:r>
    </w:p>
    <w:p>
      <w:pPr>
        <w:shd w:val="clear" w:color="auto" w:fill="auto"/>
        <w:spacing w:line="360" w:lineRule="auto"/>
        <w:jc w:val="left"/>
        <w:rPr>
          <w:sz w:val="21"/>
        </w:rPr>
      </w:pPr>
      <w:r>
        <w:rPr>
          <w:sz w:val="21"/>
        </w:rPr>
        <w:t>D．变量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不独立，这个结论犯错误的概率不超过10%</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【知识点】独立性检验的概念及辨析</w:t>
      </w:r>
    </w:p>
    <w:p>
      <w:pPr>
        <w:shd w:val="clear" w:color="auto" w:fill="auto"/>
        <w:spacing w:line="360" w:lineRule="auto"/>
        <w:jc w:val="left"/>
        <w:rPr>
          <w:sz w:val="21"/>
        </w:rPr>
      </w:pPr>
      <w:r>
        <w:rPr>
          <w:sz w:val="21"/>
        </w:rPr>
        <w:t>【分析】根据独立性检验的概率含义可得.</w:t>
      </w:r>
    </w:p>
    <w:p>
      <w:pPr>
        <w:shd w:val="clear" w:color="auto" w:fill="auto"/>
        <w:spacing w:line="360" w:lineRule="auto"/>
        <w:jc w:val="left"/>
        <w:rPr>
          <w:sz w:val="21"/>
        </w:rPr>
      </w:pPr>
      <w:r>
        <w:rPr>
          <w:sz w:val="21"/>
        </w:rPr>
        <w:t>【详解】因为</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2.974</m:t>
          </m:r>
          <m:r>
            <w:rPr>
              <w:rFonts w:ascii="Cambria Math" w:eastAsia="宋体" w:hAnsi="Cambria Math" w:cs="Cambria Math"/>
            </w:rPr>
            <m:t>&gt;</m:t>
          </m:r>
          <m:r>
            <w:rPr>
              <w:rFonts w:ascii="Cambria Math" w:eastAsia="宋体" w:hAnsi="Cambria Math" w:cs="Cambria Math"/>
            </w:rPr>
            <m:t>2.706</m:t>
          </m:r>
        </m:oMath>
      </m:oMathPara>
      <w:r>
        <w:rPr>
          <w:sz w:val="21"/>
        </w:rPr>
        <w:t>，所以变量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不相互独立，这个结论犯错误的概率不超过10%.</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（二）卡方的计算</w:t>
      </w:r>
    </w:p>
    <w:p>
      <w:pPr>
        <w:shd w:val="clear" w:color="auto" w:fill="auto"/>
        <w:spacing w:line="360" w:lineRule="auto"/>
        <w:jc w:val="left"/>
        <w:rPr>
          <w:sz w:val="21"/>
        </w:rPr>
      </w:pPr>
      <w:r>
        <w:rPr>
          <w:sz w:val="21"/>
        </w:rPr>
        <w:t>20．根据下表计算：</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2"/>
        <w:gridCol w:w="1533"/>
        <w:gridCol w:w="1323"/>
        <w:gridCol w:w="692"/>
      </w:tblGrid>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性别</w:t>
            </w:r>
            <w:r>
              <w:rPr>
                <w:i/>
                <w:sz w:val="21"/>
              </w:rPr>
              <w:t>X</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是否看电视</w:t>
            </w:r>
            <w:r>
              <w:rPr>
                <w:i/>
                <w:sz w:val="21"/>
              </w:rPr>
              <w:t>Y</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不看电视（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看电视（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37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85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122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143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178</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72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228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300</w:t>
            </w:r>
          </w:p>
        </w:tc>
      </w:tr>
    </w:tbl>
    <w:p>
      <w:pPr>
        <w:shd w:val="clear" w:color="auto" w:fill="auto"/>
        <w:spacing w:line="360" w:lineRule="auto"/>
        <w:jc w:val="left"/>
        <w:rPr>
          <w:sz w:val="21"/>
        </w:rPr>
      </w:pP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（保留3位小数）．</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4.514</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【知识点】卡方的计算</w:t>
      </w:r>
    </w:p>
    <w:p>
      <w:pPr>
        <w:shd w:val="clear" w:color="auto" w:fill="auto"/>
        <w:spacing w:line="360" w:lineRule="auto"/>
        <w:jc w:val="left"/>
        <w:rPr>
          <w:sz w:val="21"/>
        </w:rPr>
      </w:pPr>
      <w:r>
        <w:rPr>
          <w:sz w:val="21"/>
        </w:rPr>
        <w:t>【详解】</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300</m:t>
              </m:r>
              <m:r>
                <w:rPr>
                  <w:rFonts w:ascii="Cambria Math" w:eastAsia="宋体" w:hAnsi="Cambria Math" w:cs="Cambria Math"/>
                </w:rPr>
                <m:t>×</m:t>
              </m:r>
              <m:sSup>
                <m:e>
                  <m:d>
                    <m:dPr>
                      <m:sepChr m:val=","/>
                    </m:dPr>
                    <m:e>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143</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85</m:t>
                      </m:r>
                    </m:e>
                  </m:d>
                </m:e>
                <m:sup>
                  <m:r>
                    <w:rPr>
                      <w:rFonts w:ascii="Cambria Math" w:eastAsia="宋体" w:hAnsi="Cambria Math" w:cs="Cambria Math"/>
                    </w:rPr>
                    <m:t>2</m:t>
                  </m:r>
                </m:sup>
              </m:sSup>
            </m:num>
            <m:den>
              <m:r>
                <w:rPr>
                  <w:rFonts w:ascii="Cambria Math" w:eastAsia="宋体" w:hAnsi="Cambria Math" w:cs="Cambria Math"/>
                </w:rPr>
                <m:t>122</m:t>
              </m:r>
              <m:r>
                <w:rPr>
                  <w:rFonts w:ascii="Cambria Math" w:eastAsia="宋体" w:hAnsi="Cambria Math" w:cs="Cambria Math"/>
                </w:rPr>
                <m:t>×</m:t>
              </m:r>
              <m:r>
                <w:rPr>
                  <w:rFonts w:ascii="Cambria Math" w:eastAsia="宋体" w:hAnsi="Cambria Math" w:cs="Cambria Math"/>
                </w:rPr>
                <m:t>178</m:t>
              </m:r>
              <m:r>
                <w:rPr>
                  <w:rFonts w:ascii="Cambria Math" w:eastAsia="宋体" w:hAnsi="Cambria Math" w:cs="Cambria Math"/>
                </w:rPr>
                <m:t>×</m:t>
              </m:r>
              <m:r>
                <w:rPr>
                  <w:rFonts w:ascii="Cambria Math" w:eastAsia="宋体" w:hAnsi="Cambria Math" w:cs="Cambria Math"/>
                </w:rPr>
                <m:t>72</m:t>
              </m:r>
              <m:r>
                <w:rPr>
                  <w:rFonts w:ascii="Cambria Math" w:eastAsia="宋体" w:hAnsi="Cambria Math" w:cs="Cambria Math"/>
                </w:rPr>
                <m:t>×</m:t>
              </m:r>
              <m:r>
                <w:rPr>
                  <w:rFonts w:ascii="Cambria Math" w:eastAsia="宋体" w:hAnsi="Cambria Math" w:cs="Cambria Math"/>
                </w:rPr>
                <m:t>228</m:t>
              </m:r>
            </m:den>
          </m:f>
          <m:r>
            <w:rPr>
              <w:rFonts w:ascii="Cambria Math" w:eastAsia="宋体" w:hAnsi="Cambria Math" w:cs="Cambria Math"/>
            </w:rPr>
            <m:t>≈</m:t>
          </m:r>
          <m:r>
            <w:rPr>
              <w:rFonts w:ascii="Cambria Math" w:eastAsia="宋体" w:hAnsi="Cambria Math" w:cs="Cambria Math"/>
            </w:rPr>
            <m:t>4.514</m:t>
          </m:r>
        </m:oMath>
      </m:oMathPara>
    </w:p>
    <w:p>
      <w:pPr>
        <w:shd w:val="clear" w:color="auto" w:fill="auto"/>
        <w:spacing w:line="360" w:lineRule="auto"/>
        <w:jc w:val="left"/>
        <w:rPr>
          <w:sz w:val="21"/>
        </w:rPr>
      </w:pPr>
      <w:r>
        <w:rPr>
          <w:sz w:val="21"/>
        </w:rPr>
        <w:t>故答案为：4.514</w:t>
      </w:r>
    </w:p>
    <w:p>
      <w:pPr>
        <w:shd w:val="clear" w:color="auto" w:fill="auto"/>
        <w:spacing w:line="360" w:lineRule="auto"/>
        <w:jc w:val="left"/>
        <w:rPr>
          <w:sz w:val="21"/>
        </w:rPr>
      </w:pPr>
      <w:r>
        <w:rPr>
          <w:sz w:val="21"/>
        </w:rPr>
        <w:t>21．千百年来，我国劳动人民在生产实践中根据云的形状，走向，速度，厚度，颜色等的变化，总结了丰富的“看云识天气”的经验，并将这些经验编成谚语，如“天上钩钩云，地上雨淋淋”“日落云里走，雨在半夜后”……小波同学为了验证“日落云里走，雨在半夜后”，随机观察了他所在地区的100天日落情况和后半夜天气，得到如下</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w:t>
      </w:r>
    </w:p>
    <w:p>
      <w:pPr>
        <w:shd w:val="clear" w:color="auto" w:fill="auto"/>
        <w:spacing w:line="360" w:lineRule="auto"/>
        <w:jc w:val="left"/>
        <w:rPr>
          <w:sz w:val="21"/>
        </w:rPr>
      </w:pPr>
      <w:r>
        <w:rPr>
          <w:sz w:val="21"/>
        </w:rPr>
        <w:t>单位：天</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44"/>
        <w:gridCol w:w="2520"/>
        <w:gridCol w:w="2520"/>
        <w:gridCol w:w="1121"/>
      </w:tblGrid>
      <w:tr>
        <w:tblPrEx>
          <w:tblW w:w="8325"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日落云里走</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后半夜天气</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下雨</w:t>
            </w: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未下雨</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出现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未出现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并计算得到</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19.05</m:t>
          </m:r>
        </m:oMath>
      </m:oMathPara>
      <w:r>
        <w:rPr>
          <w:sz w:val="21"/>
        </w:rPr>
        <w:t>，下列小波对该地区天气的判断正确的是（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A．后半夜下雨的概率约为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B．未出现“日落云里走”时，后半夜下雨的概率约为</w:t>
      </w:r>
      <m:oMathPara>
        <m:oMathParaPr>
          <m:jc m:val="left"/>
        </m:oMathParaPr>
        <m:oMath>
          <m:f>
            <m:num>
              <m:r>
                <w:rPr>
                  <w:rFonts w:ascii="Cambria Math" w:eastAsia="宋体" w:hAnsi="Cambria Math" w:cs="Cambria Math"/>
                </w:rPr>
                <m:t>5</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C．根据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0.001</m:t>
          </m:r>
        </m:oMath>
      </m:oMathPara>
      <w:r>
        <w:rPr>
          <w:sz w:val="21"/>
        </w:rPr>
        <w:t>的独立性检验，可以推断“日落云里走”是否出现与“后半夜是否下雨”有关</w:t>
      </w:r>
    </w:p>
    <w:p>
      <w:pPr>
        <w:shd w:val="clear" w:color="auto" w:fill="auto"/>
        <w:spacing w:line="360" w:lineRule="auto"/>
        <w:jc w:val="left"/>
        <w:rPr>
          <w:sz w:val="21"/>
        </w:rPr>
      </w:pPr>
      <w:r>
        <w:rPr>
          <w:sz w:val="21"/>
        </w:rPr>
        <w:t>D．根据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0.001</m:t>
          </m:r>
        </m:oMath>
      </m:oMathPara>
      <w:r>
        <w:rPr>
          <w:sz w:val="21"/>
        </w:rPr>
        <w:t>的独立性检验，若出现“日落云里走”，则后半夜有99.9%的可能会下雨</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【知识点】列联表分析、独立性检验的概念及辨析、卡方的计算、计算古典概型问题的概率</w:t>
      </w:r>
    </w:p>
    <w:p>
      <w:pPr>
        <w:shd w:val="clear" w:color="auto" w:fill="auto"/>
        <w:spacing w:line="360" w:lineRule="auto"/>
        <w:jc w:val="left"/>
        <w:rPr>
          <w:sz w:val="21"/>
        </w:rPr>
      </w:pPr>
      <w:r>
        <w:rPr>
          <w:sz w:val="21"/>
        </w:rPr>
        <w:t>【分析】选项A，B：利用频率估算概率，即可判断选项；</w:t>
      </w:r>
    </w:p>
    <w:p>
      <w:pPr>
        <w:shd w:val="clear" w:color="auto" w:fill="auto"/>
        <w:spacing w:line="360" w:lineRule="auto"/>
        <w:jc w:val="left"/>
        <w:rPr>
          <w:sz w:val="21"/>
        </w:rPr>
      </w:pPr>
      <w:r>
        <w:rPr>
          <w:sz w:val="21"/>
        </w:rPr>
        <w:t>选项C，D：计算</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oMath>
      </m:oMathPara>
      <w:r>
        <w:rPr>
          <w:sz w:val="21"/>
        </w:rPr>
        <w:t>的值，通过比较数据即可得出答案.</w:t>
      </w:r>
    </w:p>
    <w:p>
      <w:pPr>
        <w:shd w:val="clear" w:color="auto" w:fill="auto"/>
        <w:spacing w:line="360" w:lineRule="auto"/>
        <w:jc w:val="left"/>
        <w:rPr>
          <w:sz w:val="21"/>
        </w:rPr>
      </w:pPr>
      <w:r>
        <w:rPr>
          <w:sz w:val="21"/>
        </w:rPr>
        <w:t>【详解】由题意，把频率看作概率，可得后半夜下雨的概率约为</w:t>
      </w:r>
      <m:oMathPara>
        <m:oMathParaPr>
          <m:jc m:val="left"/>
        </m:oMathParaPr>
        <m:oMath>
          <m:f>
            <m:num>
              <m:r>
                <w:rPr>
                  <w:rFonts w:ascii="Cambria Math" w:eastAsia="宋体" w:hAnsi="Cambria Math" w:cs="Cambria Math"/>
                </w:rPr>
                <m:t>50</m:t>
              </m:r>
            </m:num>
            <m:den>
              <m:r>
                <w:rPr>
                  <w:rFonts w:ascii="Cambria Math" w:eastAsia="宋体" w:hAnsi="Cambria Math" w:cs="Cambria Math"/>
                </w:rPr>
                <m:t>100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，故A判断正确；</w:t>
      </w:r>
    </w:p>
    <w:p>
      <w:pPr>
        <w:shd w:val="clear" w:color="auto" w:fill="auto"/>
        <w:spacing w:line="360" w:lineRule="auto"/>
        <w:jc w:val="left"/>
        <w:rPr>
          <w:sz w:val="21"/>
        </w:rPr>
      </w:pPr>
      <w:r>
        <w:rPr>
          <w:sz w:val="21"/>
        </w:rPr>
        <w:t>未出现“日落云里走”时，后半夜下雨的概率约为</w:t>
      </w:r>
      <m:oMathPara>
        <m:oMathParaPr>
          <m:jc m:val="left"/>
        </m:oMathParaPr>
        <m:oMath>
          <m:f>
            <m:num>
              <m:r>
                <w:rPr>
                  <w:rFonts w:ascii="Cambria Math" w:eastAsia="宋体" w:hAnsi="Cambria Math" w:cs="Cambria Math"/>
                </w:rPr>
                <m:t>25</m:t>
              </m:r>
            </m:num>
            <m:den>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45</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14</m:t>
              </m:r>
            </m:den>
          </m:f>
        </m:oMath>
      </m:oMathPara>
      <w:r>
        <w:rPr>
          <w:sz w:val="21"/>
        </w:rPr>
        <w:t>，故B判断错误；</w:t>
      </w:r>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19.05</m:t>
          </m:r>
          <m:r>
            <w:rPr>
              <w:rFonts w:ascii="Cambria Math" w:eastAsia="宋体" w:hAnsi="Cambria Math" w:cs="Cambria Math"/>
            </w:rPr>
            <m:t>&gt;</m:t>
          </m:r>
          <m:r>
            <w:rPr>
              <w:rFonts w:ascii="Cambria Math" w:eastAsia="宋体" w:hAnsi="Cambria Math" w:cs="Cambria Math"/>
            </w:rPr>
            <m:t>10.828</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0.001</m:t>
              </m:r>
            </m:sub>
          </m:sSub>
        </m:oMath>
      </m:oMathPara>
      <w:r>
        <w:rPr>
          <w:sz w:val="21"/>
        </w:rPr>
        <w:t>，根据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0.001</m:t>
          </m:r>
        </m:oMath>
      </m:oMathPara>
      <w:r>
        <w:rPr>
          <w:sz w:val="21"/>
        </w:rPr>
        <w:t>的独立性检验，认为“‘日落云里走’是否出现”与“当晚后半夜是否下雨”有关，故C判断正确，D判断错误.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22．长绒棉是世界上纤维品质最优的棉花，也是全球高端纺织品及特种纺织品的重要原料．新疆具有独特的自然资源优势，是我国最大的长绒棉生产基地，产量占全国长绒棉总产量的95%以上．新疆某农科所为了研究不同土壤环境下棉花的品质，选取甲、乙两地实验田进行种植．在棉花成熟后采摘，分别从甲、乙两地采摘的棉花中各随机抽取50份样本，测定其马克隆值，整理测量数据得到如下</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列联表（单位：份），其中</w:t>
      </w:r>
      <m:oMathPara>
        <m:oMathParaPr>
          <m:jc m:val="left"/>
        </m:oMathParaPr>
        <m:oMath>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N</m:t>
              </m:r>
            </m:e>
            <m:sup>
              <m:r>
                <m:rPr>
                  <m:nor/>
                </m:rP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注：棉花的马克隆值是反映棉花纤维细度与成熟度的综合指标，是棉纤维重要的内在质量指标之一．根据现行国家标准规定，马克隆值可分为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三个级别，</w:t>
      </w:r>
      <w:r>
        <w:rPr>
          <w:rFonts w:ascii="Times New Roman" w:eastAsia="Times New Roman" w:hAnsi="Times New Roman" w:cs="Times New Roman"/>
          <w:i/>
          <w:sz w:val="21"/>
        </w:rPr>
        <w:t>A</w:t>
      </w:r>
      <w:r>
        <w:rPr>
          <w:sz w:val="21"/>
        </w:rPr>
        <w:t>级品质最好，</w:t>
      </w:r>
      <w:r>
        <w:rPr>
          <w:rFonts w:ascii="Times New Roman" w:eastAsia="Times New Roman" w:hAnsi="Times New Roman" w:cs="Times New Roman"/>
          <w:i/>
          <w:sz w:val="21"/>
        </w:rPr>
        <w:t>B</w:t>
      </w:r>
      <w:r>
        <w:rPr>
          <w:sz w:val="21"/>
        </w:rPr>
        <w:t>级为标准级，</w:t>
      </w:r>
      <w:r>
        <w:rPr>
          <w:rFonts w:ascii="Times New Roman" w:eastAsia="Times New Roman" w:hAnsi="Times New Roman" w:cs="Times New Roman"/>
          <w:i/>
          <w:sz w:val="21"/>
        </w:rPr>
        <w:t>C</w:t>
      </w:r>
      <w:r>
        <w:rPr>
          <w:sz w:val="21"/>
        </w:rPr>
        <w:t>级品质最差．</w:t>
      </w:r>
    </w:p>
    <w:tbl>
      <w:tblPr>
        <w:tblStyle w:val="TableNormal"/>
        <w:tblW w:w="5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99"/>
        <w:gridCol w:w="1445"/>
        <w:gridCol w:w="1418"/>
        <w:gridCol w:w="1433"/>
      </w:tblGrid>
      <w:tr>
        <w:tblPrEx>
          <w:tblW w:w="5715"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r>
              <w:rPr>
                <w:sz w:val="21"/>
              </w:rPr>
              <w:t>级或</w:t>
            </w:r>
            <w:r>
              <w:rPr>
                <w:rFonts w:ascii="Times New Roman" w:eastAsia="Times New Roman" w:hAnsi="Times New Roman" w:cs="Times New Roman"/>
                <w:i/>
                <w:sz w:val="21"/>
              </w:rPr>
              <w:t>B</w:t>
            </w:r>
            <w:r>
              <w:rPr>
                <w:sz w:val="21"/>
              </w:rPr>
              <w:t>级</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C</w:t>
            </w:r>
            <w:r>
              <w:rPr>
                <w:sz w:val="21"/>
              </w:rPr>
              <w:t>级</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blPrEx>
          <w:tblW w:w="5715"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甲地</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a</m:t>
                </m:r>
              </m:oMath>
            </m:oMathPara>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r>
      <w:tr>
        <w:tblPrEx>
          <w:tblW w:w="5715"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乙地</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a</m:t>
                </m:r>
              </m:oMath>
            </m:oMathPara>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m:t>
                </m:r>
              </m:oMath>
            </m:oMathPara>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r>
      <w:tr>
        <w:tblPrEx>
          <w:tblW w:w="5715"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r>
    </w:tbl>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0</m:t>
              </m:r>
            </m:sub>
          </m:sSub>
        </m:oMath>
      </m:oMathPara>
      <w:r>
        <w:rPr>
          <w:sz w:val="21"/>
        </w:rPr>
        <w:t>时，有99%的把握认为该品种棉花的马克隆值级别与土壤环境有关，则</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r>
        <w:rPr>
          <w:sz w:val="21"/>
        </w:rPr>
        <w:t>的最小值为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附：</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d>
                    <m:dPr>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e>
                <m:sup>
                  <m:r>
                    <w:rPr>
                      <w:rFonts w:ascii="Cambria Math" w:eastAsia="宋体" w:hAnsi="Cambria Math" w:cs="Cambria Math"/>
                    </w:rPr>
                    <m:t>2</m:t>
                  </m:r>
                </m:sup>
              </m:sSup>
            </m:num>
            <m:den>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den>
          </m:f>
        </m:oMath>
      </m:oMathPara>
    </w:p>
    <w:tbl>
      <w:tblPr>
        <w:tblStyle w:val="TableNormal"/>
        <w:tblW w:w="4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56"/>
        <w:gridCol w:w="1162"/>
        <w:gridCol w:w="1162"/>
        <w:gridCol w:w="1205"/>
      </w:tblGrid>
      <w:tr>
        <w:tblPrEx>
          <w:tblW w:w="4905" w:type="dxa"/>
        </w:tblPrEx>
        <w:trPr>
          <w:cantSplit w:val="0"/>
        </w:trPr>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e>
                </m:d>
              </m:oMath>
            </m:oMathPara>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0.050</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0.010</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0.001</w:t>
            </w:r>
          </w:p>
        </w:tc>
      </w:tr>
      <w:tr>
        <w:tblPrEx>
          <w:tblW w:w="4905" w:type="dxa"/>
        </w:tblPrEx>
        <w:trPr>
          <w:cantSplit w:val="0"/>
        </w:trPr>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k</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3.841</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6.635</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10.828</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【答案】46</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【知识点】卡方的计算</w:t>
      </w:r>
    </w:p>
    <w:p>
      <w:pPr>
        <w:shd w:val="clear" w:color="auto" w:fill="auto"/>
        <w:spacing w:line="360" w:lineRule="auto"/>
        <w:jc w:val="left"/>
        <w:rPr>
          <w:sz w:val="21"/>
        </w:rPr>
      </w:pPr>
      <w:r>
        <w:rPr>
          <w:sz w:val="21"/>
        </w:rPr>
        <w:t>【分析】由</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6.635</m:t>
          </m:r>
        </m:oMath>
      </m:oMathPara>
      <w:r>
        <w:rPr>
          <w:sz w:val="21"/>
        </w:rPr>
        <w:t>列不等式，求得</w:t>
      </w:r>
      <m:oMathPara>
        <m:oMathParaPr>
          <m:jc m:val="left"/>
        </m:oMathParaPr>
        <m:oMath>
          <m:r>
            <w:rPr>
              <w:rFonts w:ascii="Cambria Math" w:eastAsia="宋体" w:hAnsi="Cambria Math" w:cs="Cambria Math"/>
            </w:rPr>
            <m:t>a</m:t>
          </m:r>
        </m:oMath>
      </m:oMathPara>
      <w:r>
        <w:rPr>
          <w:sz w:val="21"/>
        </w:rPr>
        <w:t>的取值范围，进而求得正确答案.</w:t>
      </w:r>
    </w:p>
    <w:p>
      <w:pPr>
        <w:shd w:val="clear" w:color="auto" w:fill="auto"/>
        <w:spacing w:line="360" w:lineRule="auto"/>
        <w:jc w:val="left"/>
        <w:rPr>
          <w:sz w:val="21"/>
        </w:rPr>
      </w:pPr>
      <w:r>
        <w:rPr>
          <w:sz w:val="21"/>
        </w:rPr>
        <w:t>【详解】依题意：</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6.635</m:t>
          </m:r>
        </m:oMath>
      </m:oMathPara>
      <w:r>
        <w:rPr>
          <w:sz w:val="21"/>
        </w:rPr>
        <w:t>，</w:t>
      </w:r>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100</m:t>
              </m:r>
              <m:r>
                <w:rPr>
                  <w:rFonts w:ascii="Cambria Math" w:eastAsia="宋体" w:hAnsi="Cambria Math" w:cs="Cambria Math"/>
                </w:rPr>
                <m:t>×</m:t>
              </m:r>
              <m:sSup>
                <m:e>
                  <m:d>
                    <m:dPr>
                      <m:begChr m:val="["/>
                      <m:endChr m:val="]"/>
                      <m:sepChr m:val=","/>
                    </m:dPr>
                    <m:e>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m:t>
                          </m:r>
                        </m:e>
                      </m:d>
                      <m:r>
                        <w:rPr>
                          <w:rFonts w:ascii="Cambria Math" w:eastAsia="宋体" w:hAnsi="Cambria Math" w:cs="Cambria Math"/>
                        </w:rPr>
                        <m:t>−</m:t>
                      </m:r>
                      <m:d>
                        <m:dPr>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a</m:t>
                          </m:r>
                        </m:e>
                      </m:d>
                      <m:d>
                        <m:dPr>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a</m:t>
                          </m:r>
                        </m:e>
                      </m:d>
                    </m:e>
                  </m:d>
                </m:e>
                <m:sup>
                  <m:r>
                    <w:rPr>
                      <w:rFonts w:ascii="Cambria Math" w:eastAsia="宋体" w:hAnsi="Cambria Math" w:cs="Cambria Math"/>
                    </w:rPr>
                    <m:t>2</m:t>
                  </m:r>
                </m:sup>
              </m:sSup>
            </m:num>
            <m:den>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50</m:t>
              </m:r>
            </m:den>
          </m:f>
          <m:r>
            <w:rPr>
              <w:rFonts w:ascii="Cambria Math" w:eastAsia="宋体" w:hAnsi="Cambria Math" w:cs="Cambria Math"/>
            </w:rPr>
            <m:t>≥</m:t>
          </m:r>
          <m:r>
            <w:rPr>
              <w:rFonts w:ascii="Cambria Math" w:eastAsia="宋体" w:hAnsi="Cambria Math" w:cs="Cambria Math"/>
            </w:rPr>
            <m:t>6.635</m:t>
          </m:r>
        </m:oMath>
      </m:oMathPara>
      <w:r>
        <w:rPr>
          <w:sz w:val="21"/>
        </w:rPr>
        <w:t>，</w:t>
      </w:r>
    </w:p>
    <w:p>
      <w:pPr>
        <w:shd w:val="clear" w:color="auto" w:fill="auto"/>
        <w:spacing w:line="360" w:lineRule="auto"/>
        <w:jc w:val="left"/>
        <w:rPr>
          <w:sz w:val="21"/>
        </w:rPr>
      </w:pPr>
      <m:oMathPara>
        <m:oMathParaPr>
          <m:jc m:val="left"/>
        </m:oMathParaPr>
        <m:oMath>
          <m:sSup>
            <m:e>
              <m:d>
                <m:dPr>
                  <m:sepChr m:val=","/>
                </m:dPr>
                <m:e>
                  <m:r>
                    <w:rPr>
                      <w:rFonts w:ascii="Cambria Math" w:eastAsia="宋体" w:hAnsi="Cambria Math" w:cs="Cambria Math"/>
                    </w:rPr>
                    <m:t>100</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4000</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265400</m:t>
          </m:r>
        </m:oMath>
      </m:oMathPara>
      <w:r>
        <w:rPr>
          <w:sz w:val="21"/>
        </w:rPr>
        <w:t>，</w:t>
      </w:r>
      <m:oMathPara>
        <m:oMathParaPr>
          <m:jc m:val="left"/>
        </m:oMathParaPr>
        <m:oMath>
          <m:sSup>
            <m:e>
              <m:d>
                <m:dPr>
                  <m:sepChr m:val=","/>
                </m:dPr>
                <m:e>
                  <m:r>
                    <w:rPr>
                      <w:rFonts w:ascii="Cambria Math" w:eastAsia="宋体" w:hAnsi="Cambria Math" w:cs="Cambria Math"/>
                    </w:rPr>
                    <m:t>10</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400</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2654</m:t>
          </m:r>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N</m:t>
              </m:r>
            </m:e>
            <m:sup>
              <m:r>
                <m:rPr>
                  <m:nor/>
                </m:rPr>
                <w:rPr>
                  <w:rFonts w:ascii="Cambria Math" w:eastAsia="宋体" w:hAnsi="Cambria Math" w:cs="Cambria Math"/>
                </w:rPr>
                <m:t>*</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10</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400</m:t>
          </m:r>
          <m:r>
            <w:rPr>
              <w:rFonts w:ascii="Cambria Math" w:eastAsia="宋体" w:hAnsi="Cambria Math" w:cs="Cambria Math"/>
            </w:rPr>
            <m:t>≥</m:t>
          </m:r>
          <m:rad>
            <m:radPr>
              <m:degHide/>
            </m:radPr>
            <m:deg/>
            <m:e>
              <m:r>
                <w:rPr>
                  <w:rFonts w:ascii="Cambria Math" w:eastAsia="宋体" w:hAnsi="Cambria Math" w:cs="Cambria Math"/>
                </w:rPr>
                <m:t>2654</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2654</m:t>
                  </m:r>
                </m:e>
              </m:rad>
              <m:r>
                <w:rPr>
                  <w:rFonts w:ascii="Cambria Math" w:eastAsia="宋体" w:hAnsi="Cambria Math" w:cs="Cambria Math"/>
                </w:rPr>
                <m:t>+</m:t>
              </m:r>
              <m:r>
                <w:rPr>
                  <w:rFonts w:ascii="Cambria Math" w:eastAsia="宋体" w:hAnsi="Cambria Math" w:cs="Cambria Math"/>
                </w:rPr>
                <m:t>400</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46</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r>
        <w:rPr>
          <w:sz w:val="21"/>
        </w:rPr>
        <w:t>的最小值为</w:t>
      </w:r>
      <m:oMathPara>
        <m:oMathParaPr>
          <m:jc m:val="left"/>
        </m:oMathParaPr>
        <m:oMath>
          <m:r>
            <w:rPr>
              <w:rFonts w:ascii="Cambria Math" w:eastAsia="宋体" w:hAnsi="Cambria Math" w:cs="Cambria Math"/>
            </w:rPr>
            <m:t>46</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46</m:t>
          </m:r>
        </m:oMath>
      </m:oMathPara>
    </w:p>
    <w:p>
      <w:pPr>
        <w:shd w:val="clear" w:color="auto" w:fill="auto"/>
        <w:spacing w:line="360" w:lineRule="auto"/>
        <w:jc w:val="left"/>
        <w:rPr>
          <w:sz w:val="21"/>
        </w:rPr>
      </w:pPr>
      <w:r>
        <w:rPr>
          <w:sz w:val="21"/>
        </w:rPr>
        <w:t>23．某机构为研究中老年人坚持锻炼与患糖尿病、高血压、冠心病、关节炎四种慢性疾病之间的关系，随机调查部分中老年人，统计数据如下表</w:t>
      </w:r>
      <m:oMathPara>
        <m:oMathParaPr>
          <m:jc m:val="left"/>
        </m:oMathParaPr>
        <m:oMath>
          <m:r>
            <w:rPr>
              <w:rFonts w:ascii="Cambria Math" w:eastAsia="宋体" w:hAnsi="Cambria Math" w:cs="Cambria Math"/>
            </w:rPr>
            <m:t>1</m:t>
          </m:r>
        </m:oMath>
      </m:oMathPara>
      <w:r>
        <w:rPr>
          <w:sz w:val="21"/>
        </w:rPr>
        <w:t>至表</w:t>
      </w:r>
      <m:oMathPara>
        <m:oMathParaPr>
          <m:jc m:val="left"/>
        </m:oMathParaPr>
        <m:oMath>
          <m:r>
            <w:rPr>
              <w:rFonts w:ascii="Cambria Math" w:eastAsia="宋体" w:hAnsi="Cambria Math" w:cs="Cambria Math"/>
            </w:rPr>
            <m:t>4</m:t>
          </m:r>
        </m:oMath>
      </m:oMathPara>
      <w:r>
        <w:rPr>
          <w:sz w:val="21"/>
        </w:rPr>
        <w:t>，则这四种慢性疾病可以通过坚持锻炼来预防的可能性最大的是（</w:t>
      </w:r>
      <w:r>
        <w:rPr>
          <w:rFonts w:ascii="Times New Roman" w:eastAsia="Times New Roman" w:hAnsi="Times New Roman" w:cs="Times New Roman"/>
          <w:kern w:val="0"/>
          <w:sz w:val="24"/>
          <w:szCs w:val="24"/>
        </w:rPr>
        <w:t>    </w:t>
      </w:r>
      <w:r>
        <w:rPr>
          <w:sz w:val="21"/>
        </w:rPr>
        <w:t>）</w:t>
      </w:r>
      <w:r>
        <w:rPr>
          <w:rFonts w:ascii="Times New Roman" w:eastAsia="Times New Roman" w:hAnsi="Times New Roman" w:cs="Times New Roman"/>
          <w:kern w:val="0"/>
          <w:sz w:val="24"/>
          <w:szCs w:val="24"/>
        </w:rPr>
        <w:t>    </w:t>
      </w:r>
    </w:p>
    <w:tbl>
      <w:tblPr>
        <w:tblStyle w:val="TableNormal"/>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276"/>
        <w:gridCol w:w="4276"/>
      </w:tblGrid>
      <w:tr>
        <w:tblPrEx>
          <w:tblW w:w="8520" w:type="dxa"/>
        </w:tblPrEx>
        <w:trPr>
          <w:cantSplit w:val="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w:t>
            </w:r>
            <m:oMathPara>
              <m:oMathParaPr>
                <m:jc m:val="left"/>
              </m:oMathParaPr>
              <m:oMath>
                <m:r>
                  <w:rPr>
                    <w:rFonts w:ascii="Cambria Math" w:eastAsia="宋体" w:hAnsi="Cambria Math" w:cs="Cambria Math"/>
                  </w:rPr>
                  <m:t>1</m:t>
                </m:r>
              </m:oMath>
            </m:oMathPara>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w:t>
            </w:r>
            <m:oMathPara>
              <m:oMathParaPr>
                <m:jc m:val="left"/>
              </m:oMathParaPr>
              <m:oMath>
                <m:r>
                  <w:rPr>
                    <w:rFonts w:ascii="Cambria Math" w:eastAsia="宋体" w:hAnsi="Cambria Math" w:cs="Cambria Math"/>
                  </w:rPr>
                  <m:t>2</m:t>
                </m:r>
              </m:oMath>
            </m:oMathPara>
          </w:p>
        </w:tc>
      </w:tr>
      <w:tr>
        <w:tblPrEx>
          <w:tblW w:w="8520" w:type="dxa"/>
        </w:tblPrEx>
        <w:trPr>
          <w:cantSplit w:val="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tbl>
            <w:tblPr>
              <w:tblStyle w:val="TableNormal"/>
              <w:tblW w:w="4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94"/>
              <w:gridCol w:w="1242"/>
              <w:gridCol w:w="1394"/>
            </w:tblGrid>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患糖尿病</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未患糖尿病</w:t>
                  </w:r>
                </w:p>
              </w:tc>
            </w:tr>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坚持锻炼</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w:t>
                  </w:r>
                </w:p>
              </w:tc>
            </w:tr>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不坚持锻炼</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w:t>
                  </w:r>
                </w:p>
              </w:tc>
            </w:tr>
          </w:tbl>
          <w:p>
            <w:pPr>
              <w:shd w:val="clear" w:color="auto" w:fill="auto"/>
              <w:spacing w:line="360" w:lineRule="auto"/>
              <w:jc w:val="left"/>
              <w:rPr>
                <w:sz w:val="21"/>
              </w:rPr>
            </w:pPr>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tbl>
            <w:tblPr>
              <w:tblStyle w:val="TableNormal"/>
              <w:tblW w:w="4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94"/>
              <w:gridCol w:w="1242"/>
              <w:gridCol w:w="1394"/>
            </w:tblGrid>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患高血压</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未患高血压</w:t>
                  </w:r>
                </w:p>
              </w:tc>
            </w:tr>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坚持锻炼</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w:t>
                  </w:r>
                </w:p>
              </w:tc>
            </w:tr>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不坚持锻炼</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21</w:t>
                  </w:r>
                </w:p>
              </w:tc>
            </w:tr>
          </w:tbl>
          <w:p>
            <w:pPr>
              <w:shd w:val="clear" w:color="auto" w:fill="auto"/>
              <w:spacing w:line="360" w:lineRule="auto"/>
              <w:jc w:val="left"/>
              <w:rPr>
                <w:sz w:val="21"/>
              </w:rPr>
            </w:pPr>
          </w:p>
        </w:tc>
      </w:tr>
      <w:tr>
        <w:tblPrEx>
          <w:tblW w:w="8520" w:type="dxa"/>
        </w:tblPrEx>
        <w:trPr>
          <w:cantSplit w:val="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w:t>
            </w:r>
            <m:oMathPara>
              <m:oMathParaPr>
                <m:jc m:val="left"/>
              </m:oMathParaPr>
              <m:oMath>
                <m:r>
                  <w:rPr>
                    <w:rFonts w:ascii="Cambria Math" w:eastAsia="宋体" w:hAnsi="Cambria Math" w:cs="Cambria Math"/>
                  </w:rPr>
                  <m:t>3</m:t>
                </m:r>
              </m:oMath>
            </m:oMathPara>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w:t>
            </w:r>
            <m:oMathPara>
              <m:oMathParaPr>
                <m:jc m:val="left"/>
              </m:oMathParaPr>
              <m:oMath>
                <m:r>
                  <w:rPr>
                    <w:rFonts w:ascii="Cambria Math" w:eastAsia="宋体" w:hAnsi="Cambria Math" w:cs="Cambria Math"/>
                  </w:rPr>
                  <m:t>4</m:t>
                </m:r>
              </m:oMath>
            </m:oMathPara>
          </w:p>
        </w:tc>
      </w:tr>
      <w:tr>
        <w:tblPrEx>
          <w:tblW w:w="8520" w:type="dxa"/>
        </w:tblPrEx>
        <w:trPr>
          <w:cantSplit w:val="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tbl>
            <w:tblPr>
              <w:tblStyle w:val="TableNormal"/>
              <w:tblW w:w="4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94"/>
              <w:gridCol w:w="1242"/>
              <w:gridCol w:w="1394"/>
            </w:tblGrid>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患冠心病</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未患冠心病</w:t>
                  </w:r>
                </w:p>
              </w:tc>
            </w:tr>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坚持锻炼</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w:t>
                  </w:r>
                </w:p>
              </w:tc>
            </w:tr>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不坚持锻炼</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23</w:t>
                  </w:r>
                </w:p>
              </w:tc>
            </w:tr>
          </w:tbl>
          <w:p>
            <w:pPr>
              <w:shd w:val="clear" w:color="auto" w:fill="auto"/>
              <w:spacing w:line="360" w:lineRule="auto"/>
              <w:jc w:val="left"/>
              <w:rPr>
                <w:sz w:val="21"/>
              </w:rPr>
            </w:pPr>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tbl>
            <w:tblPr>
              <w:tblStyle w:val="TableNormal"/>
              <w:tblW w:w="4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94"/>
              <w:gridCol w:w="1242"/>
              <w:gridCol w:w="1394"/>
            </w:tblGrid>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患关节炎</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未患关节炎</w:t>
                  </w:r>
                </w:p>
              </w:tc>
            </w:tr>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坚持锻炼</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w:t>
                  </w:r>
                </w:p>
              </w:tc>
            </w:tr>
            <w:tr>
              <w:tblPrEx>
                <w:tblW w:w="4050" w:type="dxa"/>
              </w:tblPrEx>
              <w:trPr>
                <w:cantSplit w:val="0"/>
              </w:trPr>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不坚持锻炼</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26</w:t>
                  </w:r>
                </w:p>
              </w:tc>
            </w:tr>
          </w:tbl>
          <w:p>
            <w:pPr>
              <w:shd w:val="clear" w:color="auto" w:fill="auto"/>
              <w:spacing w:line="360" w:lineRule="auto"/>
              <w:jc w:val="left"/>
              <w:rPr>
                <w:sz w:val="21"/>
              </w:rPr>
            </w:pPr>
          </w:p>
        </w:tc>
      </w:tr>
    </w:tbl>
    <w:p>
      <w:pPr>
        <w:shd w:val="clear" w:color="auto" w:fill="auto"/>
        <w:tabs>
          <w:tab w:val="left" w:pos="2078"/>
          <w:tab w:val="left" w:pos="4156"/>
          <w:tab w:val="left" w:pos="6234"/>
        </w:tabs>
        <w:spacing w:line="360" w:lineRule="auto"/>
        <w:jc w:val="left"/>
        <w:rPr>
          <w:sz w:val="21"/>
        </w:rPr>
      </w:pPr>
      <w:r>
        <w:rPr>
          <w:sz w:val="21"/>
        </w:rPr>
        <w:t>A．糖尿病</w:t>
      </w:r>
      <w:r>
        <w:rPr>
          <w:sz w:val="21"/>
        </w:rPr>
        <w:tab/>
      </w:r>
      <w:r>
        <w:rPr>
          <w:sz w:val="21"/>
        </w:rPr>
        <w:t>B．高血压</w:t>
      </w:r>
      <w:r>
        <w:rPr>
          <w:sz w:val="21"/>
        </w:rPr>
        <w:tab/>
      </w:r>
      <w:r>
        <w:rPr>
          <w:sz w:val="21"/>
        </w:rPr>
        <w:t>C．冠心病</w:t>
      </w:r>
      <w:r>
        <w:rPr>
          <w:sz w:val="21"/>
        </w:rPr>
        <w:tab/>
      </w:r>
      <w:r>
        <w:rPr>
          <w:sz w:val="21"/>
        </w:rPr>
        <w:t>D．患关节炎</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【知识点】卡方的计算、独立性检验解决实际问题</w:t>
      </w:r>
    </w:p>
    <w:p>
      <w:pPr>
        <w:shd w:val="clear" w:color="auto" w:fill="auto"/>
        <w:spacing w:line="360" w:lineRule="auto"/>
        <w:jc w:val="left"/>
        <w:rPr>
          <w:sz w:val="21"/>
        </w:rPr>
      </w:pPr>
      <w:r>
        <w:rPr>
          <w:sz w:val="21"/>
        </w:rPr>
        <w:t>【分析】根据独立性检验计算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，比较可得选项.</w:t>
      </w:r>
    </w:p>
    <w:p>
      <w:pPr>
        <w:shd w:val="clear" w:color="auto" w:fill="auto"/>
        <w:spacing w:line="360" w:lineRule="auto"/>
        <w:jc w:val="left"/>
        <w:rPr>
          <w:sz w:val="21"/>
        </w:rPr>
      </w:pPr>
      <w:r>
        <w:rPr>
          <w:sz w:val="21"/>
        </w:rPr>
        <w:t>【详解】解：由表1得：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52</m:t>
              </m:r>
              <m:r>
                <w:rPr>
                  <w:rFonts w:ascii="Cambria Math" w:eastAsia="宋体" w:hAnsi="Cambria Math" w:cs="Cambria Math"/>
                </w:rPr>
                <m:t>×</m:t>
              </m:r>
              <m:sSup>
                <m:e>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14</m:t>
                      </m:r>
                    </m:e>
                  </m:d>
                </m:e>
                <m:sup>
                  <m:r>
                    <w:rPr>
                      <w:rFonts w:ascii="Cambria Math" w:eastAsia="宋体" w:hAnsi="Cambria Math" w:cs="Cambria Math"/>
                    </w:rPr>
                    <m:t>2</m:t>
                  </m:r>
                </m:sup>
              </m:sSup>
            </m:num>
            <m:den>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39</m:t>
              </m:r>
            </m:den>
          </m:f>
          <m:r>
            <w:rPr>
              <w:rFonts w:ascii="Cambria Math" w:eastAsia="宋体" w:hAnsi="Cambria Math" w:cs="Cambria Math"/>
            </w:rPr>
            <m:t>≈</m:t>
          </m:r>
          <m:r>
            <w:rPr>
              <w:rFonts w:ascii="Cambria Math" w:eastAsia="宋体" w:hAnsi="Cambria Math" w:cs="Cambria Math"/>
            </w:rPr>
            <m:t>0.43</m:t>
          </m:r>
        </m:oMath>
      </m:oMathPara>
      <w:r>
        <w:rPr>
          <w:sz w:val="21"/>
        </w:rPr>
        <w:t>，</w:t>
      </w:r>
    </w:p>
    <w:p>
      <w:pPr>
        <w:shd w:val="clear" w:color="auto" w:fill="auto"/>
        <w:spacing w:line="360" w:lineRule="auto"/>
        <w:jc w:val="left"/>
        <w:rPr>
          <w:sz w:val="21"/>
        </w:rPr>
      </w:pPr>
      <w:r>
        <w:rPr>
          <w:sz w:val="21"/>
        </w:rPr>
        <w:t>由表2得：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52</m:t>
              </m:r>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18</m:t>
                      </m:r>
                    </m:e>
                  </m:d>
                </m:e>
                <m:sup>
                  <m:r>
                    <w:rPr>
                      <w:rFonts w:ascii="Cambria Math" w:eastAsia="宋体" w:hAnsi="Cambria Math" w:cs="Cambria Math"/>
                    </w:rPr>
                    <m:t>2</m:t>
                  </m:r>
                </m:sup>
              </m:sSup>
            </m:num>
            <m:den>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39</m:t>
              </m:r>
            </m:den>
          </m:f>
          <m:r>
            <w:rPr>
              <w:rFonts w:ascii="Cambria Math" w:eastAsia="宋体" w:hAnsi="Cambria Math" w:cs="Cambria Math"/>
            </w:rPr>
            <m:t>≈</m:t>
          </m:r>
          <m:r>
            <w:rPr>
              <w:rFonts w:ascii="Cambria Math" w:eastAsia="宋体" w:hAnsi="Cambria Math" w:cs="Cambria Math"/>
            </w:rPr>
            <m:t>3.9</m:t>
          </m:r>
        </m:oMath>
      </m:oMathPara>
      <w:r>
        <w:rPr>
          <w:sz w:val="21"/>
        </w:rPr>
        <w:t>，</w:t>
      </w:r>
    </w:p>
    <w:p>
      <w:pPr>
        <w:shd w:val="clear" w:color="auto" w:fill="auto"/>
        <w:spacing w:line="360" w:lineRule="auto"/>
        <w:jc w:val="left"/>
        <w:rPr>
          <w:sz w:val="21"/>
        </w:rPr>
      </w:pPr>
      <w:r>
        <w:rPr>
          <w:sz w:val="21"/>
        </w:rPr>
        <w:t>由表3得：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52</m:t>
              </m:r>
              <m:r>
                <w:rPr>
                  <w:rFonts w:ascii="Cambria Math" w:eastAsia="宋体" w:hAnsi="Cambria Math" w:cs="Cambria Math"/>
                </w:rPr>
                <m:t>×</m:t>
              </m:r>
              <m:sSup>
                <m:e>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e>
                  </m:d>
                </m:e>
                <m:sup>
                  <m:r>
                    <w:rPr>
                      <w:rFonts w:ascii="Cambria Math" w:eastAsia="宋体" w:hAnsi="Cambria Math" w:cs="Cambria Math"/>
                    </w:rPr>
                    <m:t>2</m:t>
                  </m:r>
                </m:sup>
              </m:sSup>
            </m:num>
            <m:den>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39</m:t>
              </m:r>
            </m:den>
          </m:f>
          <m:r>
            <w:rPr>
              <w:rFonts w:ascii="Cambria Math" w:eastAsia="宋体" w:hAnsi="Cambria Math" w:cs="Cambria Math"/>
            </w:rPr>
            <m:t>≈</m:t>
          </m:r>
          <m:r>
            <w:rPr>
              <w:rFonts w:ascii="Cambria Math" w:eastAsia="宋体" w:hAnsi="Cambria Math" w:cs="Cambria Math"/>
            </w:rPr>
            <m:t>0.43</m:t>
          </m:r>
        </m:oMath>
      </m:oMathPara>
      <w:r>
        <w:rPr>
          <w:sz w:val="21"/>
        </w:rPr>
        <w:t>，</w:t>
      </w:r>
    </w:p>
    <w:p>
      <w:pPr>
        <w:shd w:val="clear" w:color="auto" w:fill="auto"/>
        <w:spacing w:line="360" w:lineRule="auto"/>
        <w:jc w:val="left"/>
        <w:rPr>
          <w:sz w:val="21"/>
        </w:rPr>
      </w:pPr>
      <w:r>
        <w:rPr>
          <w:sz w:val="21"/>
        </w:rPr>
        <w:t>由表4得：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52</m:t>
              </m:r>
              <m:r>
                <w:rPr>
                  <w:rFonts w:ascii="Cambria Math" w:eastAsia="宋体" w:hAnsi="Cambria Math" w:cs="Cambria Math"/>
                </w:rPr>
                <m:t>×</m:t>
              </m:r>
              <m:sSup>
                <m:e>
                  <m:d>
                    <m:dPr>
                      <m:sepChr m:val=","/>
                    </m:dPr>
                    <m:e>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26</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13</m:t>
                      </m:r>
                    </m:e>
                  </m:d>
                </m:e>
                <m:sup>
                  <m:r>
                    <w:rPr>
                      <w:rFonts w:ascii="Cambria Math" w:eastAsia="宋体" w:hAnsi="Cambria Math" w:cs="Cambria Math"/>
                    </w:rPr>
                    <m:t>2</m:t>
                  </m:r>
                </m:sup>
              </m:sSup>
            </m:num>
            <m:den>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39</m:t>
              </m:r>
            </m:den>
          </m:f>
          <m:r>
            <w:rPr>
              <w:rFonts w:ascii="Cambria Math" w:eastAsia="宋体" w:hAnsi="Cambria Math" w:cs="Cambria Math"/>
            </w:rPr>
            <m:t>≈</m:t>
          </m:r>
          <m:r>
            <w:rPr>
              <w:rFonts w:ascii="Cambria Math" w:eastAsia="宋体" w:hAnsi="Cambria Math" w:cs="Cambria Math"/>
            </w:rPr>
            <m:t>1.73</m:t>
          </m:r>
        </m:oMath>
      </m:oMathPara>
      <w:r>
        <w:rPr>
          <w:sz w:val="21"/>
        </w:rPr>
        <w:t>，</w:t>
      </w:r>
    </w:p>
    <w:p>
      <w:pPr>
        <w:shd w:val="clear" w:color="auto" w:fill="auto"/>
        <w:spacing w:line="360" w:lineRule="auto"/>
        <w:jc w:val="left"/>
        <w:rPr>
          <w:sz w:val="21"/>
        </w:rPr>
      </w:pPr>
      <w:r>
        <w:rPr>
          <w:sz w:val="21"/>
        </w:rPr>
        <w:t>所以这四种慢性疾病可以通过坚持锻炼来预防的可能性最大的是高血压，</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24．有两个分类变量</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oMath>
      </m:oMathPara>
      <w:r>
        <w:rPr>
          <w:sz w:val="21"/>
        </w:rPr>
        <w:t>，其列联表如下所示.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62"/>
        <w:gridCol w:w="2790"/>
        <w:gridCol w:w="2790"/>
        <w:gridCol w:w="1362"/>
      </w:tblGrid>
      <w:tr>
        <w:tblPrEx>
          <w:tblW w:w="8325"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Y</m:t>
                </m:r>
              </m:oMath>
            </m:oMathPara>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oMath>
            </m:oMathPara>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oMath>
            </m:oMathPara>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a</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a</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a</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a</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45</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65</w:t>
            </w:r>
          </w:p>
        </w:tc>
      </w:tr>
    </w:tbl>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a</m:t>
          </m:r>
        </m:oMath>
      </m:oMathPara>
      <w:r>
        <w:rPr>
          <w:sz w:val="21"/>
        </w:rPr>
        <w:t>均为大于5的整数，若依据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0.05</m:t>
          </m:r>
        </m:oMath>
      </m:oMathPara>
      <w:r>
        <w:rPr>
          <w:sz w:val="21"/>
        </w:rPr>
        <w:t>的独立性检验可以认为</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有关，则</w:t>
      </w:r>
      <m:oMathPara>
        <m:oMathParaPr>
          <m:jc m:val="left"/>
        </m:oMathParaPr>
        <m:oMath>
          <m:r>
            <w:rPr>
              <w:rFonts w:ascii="Cambria Math" w:eastAsia="宋体" w:hAnsi="Cambria Math" w:cs="Cambria Math"/>
            </w:rPr>
            <m:t>a</m:t>
          </m:r>
        </m:oMath>
      </m:oMathPara>
      <w:r>
        <w:rPr>
          <w:sz w:val="21"/>
        </w:rPr>
        <w:t>的可能取值为（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A．6</w:t>
      </w:r>
      <w:r>
        <w:rPr>
          <w:sz w:val="21"/>
        </w:rPr>
        <w:tab/>
      </w:r>
      <w:r>
        <w:rPr>
          <w:sz w:val="21"/>
        </w:rPr>
        <w:t>B．7</w:t>
      </w:r>
      <w:r>
        <w:rPr>
          <w:sz w:val="21"/>
        </w:rPr>
        <w:tab/>
      </w:r>
      <w:r>
        <w:rPr>
          <w:sz w:val="21"/>
        </w:rPr>
        <w:t>C．8</w:t>
      </w:r>
      <w:r>
        <w:rPr>
          <w:sz w:val="21"/>
        </w:rPr>
        <w:tab/>
      </w:r>
      <w:r>
        <w:rPr>
          <w:sz w:val="21"/>
        </w:rPr>
        <w:t>D．9</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【知识点】完善列联表、卡方的计算、独立性检验的基本思想</w:t>
      </w:r>
    </w:p>
    <w:p>
      <w:pPr>
        <w:shd w:val="clear" w:color="auto" w:fill="auto"/>
        <w:spacing w:line="360" w:lineRule="auto"/>
        <w:jc w:val="left"/>
        <w:rPr>
          <w:sz w:val="21"/>
        </w:rPr>
      </w:pPr>
      <w:r>
        <w:rPr>
          <w:sz w:val="21"/>
        </w:rPr>
        <w:t>【分析】根据题中对</w:t>
      </w:r>
      <m:oMathPara>
        <m:oMathParaPr>
          <m:jc m:val="left"/>
        </m:oMathParaPr>
        <m:oMath>
          <m:r>
            <w:rPr>
              <w:rFonts w:ascii="Cambria Math" w:eastAsia="宋体" w:hAnsi="Cambria Math" w:cs="Cambria Math"/>
            </w:rPr>
            <m:t>a</m:t>
          </m:r>
        </m:oMath>
      </m:oMathPara>
      <w:r>
        <w:rPr>
          <w:sz w:val="21"/>
        </w:rPr>
        <w:t>的条件限制，结合卡方独立性检验的知识，即可求解.</w:t>
      </w:r>
    </w:p>
    <w:p>
      <w:pPr>
        <w:shd w:val="clear" w:color="auto" w:fill="auto"/>
        <w:spacing w:line="360" w:lineRule="auto"/>
        <w:jc w:val="left"/>
        <w:rPr>
          <w:sz w:val="21"/>
        </w:rPr>
      </w:pPr>
      <w:r>
        <w:rPr>
          <w:sz w:val="21"/>
        </w:rPr>
        <w:t>【详解】根据</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5</m:t>
          </m:r>
        </m:oMath>
      </m:oMathPara>
      <w:r>
        <w:rPr>
          <w:sz w:val="21"/>
        </w:rPr>
        <w:t>且</w:t>
      </w:r>
      <m:oMathPara>
        <m:oMathParaPr>
          <m:jc m:val="left"/>
        </m:oMathParaPr>
        <m:oMath>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Z</m:t>
          </m:r>
        </m:oMath>
      </m:oMathPara>
      <w:r>
        <w:rPr>
          <w:sz w:val="21"/>
        </w:rPr>
        <w:t>，知</w:t>
      </w:r>
      <m:oMathPara>
        <m:oMathParaPr>
          <m:jc m:val="left"/>
        </m:oMathParaPr>
        <m:oMath>
          <m:r>
            <w:rPr>
              <w:rFonts w:ascii="Cambria Math" w:eastAsia="宋体" w:hAnsi="Cambria Math" w:cs="Cambria Math"/>
            </w:rPr>
            <m:t>a</m:t>
          </m:r>
        </m:oMath>
      </m:oMathPara>
      <w:r>
        <w:rPr>
          <w:sz w:val="21"/>
        </w:rPr>
        <w:t>可取6，7，8，9.由表中数据及题意，得</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65</m:t>
              </m:r>
              <m:r>
                <w:rPr>
                  <w:rFonts w:ascii="Cambria Math" w:eastAsia="宋体" w:hAnsi="Cambria Math" w:cs="Cambria Math"/>
                </w:rPr>
                <m:t>×</m:t>
              </m:r>
              <m:sSup>
                <m:e>
                  <m:d>
                    <m:dPr>
                      <m:begChr m:val="["/>
                      <m:endChr m:val="]"/>
                      <m:sepChr m:val=","/>
                    </m:dPr>
                    <m:e>
                      <m:r>
                        <w:rPr>
                          <w:rFonts w:ascii="Cambria Math" w:eastAsia="宋体" w:hAnsi="Cambria Math" w:cs="Cambria Math"/>
                        </w:rPr>
                        <m:t>a</m:t>
                      </m:r>
                      <m:d>
                        <m:dPr>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d>
                        <m:dPr>
                          <m:sepChr m:val=","/>
                        </m:dPr>
                        <m:e>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a</m:t>
                          </m:r>
                        </m:e>
                      </m:d>
                      <m:d>
                        <m:dPr>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a</m:t>
                          </m:r>
                        </m:e>
                      </m:d>
                    </m:e>
                  </m:d>
                </m:e>
                <m:sup>
                  <m:r>
                    <w:rPr>
                      <w:rFonts w:ascii="Cambria Math" w:eastAsia="宋体" w:hAnsi="Cambria Math" w:cs="Cambria Math"/>
                    </w:rPr>
                    <m:t>2</m:t>
                  </m:r>
                </m:sup>
              </m:sSup>
            </m:num>
            <m:den>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50</m:t>
              </m:r>
            </m:den>
          </m:f>
          <m:r>
            <w:rPr>
              <w:rFonts w:ascii="Cambria Math" w:eastAsia="宋体" w:hAnsi="Cambria Math" w:cs="Cambria Math"/>
            </w:rPr>
            <m:t>=</m:t>
          </m:r>
          <m:f>
            <m:num>
              <m:r>
                <w:rPr>
                  <w:rFonts w:ascii="Cambria Math" w:eastAsia="宋体" w:hAnsi="Cambria Math" w:cs="Cambria Math"/>
                </w:rPr>
                <m:t>13</m:t>
              </m:r>
              <m:r>
                <w:rPr>
                  <w:rFonts w:ascii="Cambria Math" w:eastAsia="宋体" w:hAnsi="Cambria Math" w:cs="Cambria Math"/>
                </w:rPr>
                <m:t>×</m:t>
              </m:r>
              <m:sSup>
                <m:e>
                  <m:d>
                    <m:dPr>
                      <m:sepChr m:val=","/>
                    </m:dPr>
                    <m:e>
                      <m:r>
                        <w:rPr>
                          <w:rFonts w:ascii="Cambria Math" w:eastAsia="宋体" w:hAnsi="Cambria Math" w:cs="Cambria Math"/>
                        </w:rPr>
                        <m:t>13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60</m:t>
                      </m:r>
                    </m:e>
                  </m:d>
                </m:e>
                <m:sup>
                  <m:r>
                    <w:rPr>
                      <w:rFonts w:ascii="Cambria Math" w:eastAsia="宋体" w:hAnsi="Cambria Math" w:cs="Cambria Math"/>
                    </w:rPr>
                    <m:t>2</m:t>
                  </m:r>
                </m:sup>
              </m:sSup>
            </m:num>
            <m:den>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3.841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0.05</m:t>
              </m:r>
            </m:sub>
          </m:sSub>
        </m:oMath>
      </m:oMathPara>
      <w:r>
        <w:rPr>
          <w:sz w:val="21"/>
        </w:rPr>
        <w:t>，结合选项，知</w:t>
      </w:r>
      <m:oMathPara>
        <m:oMathParaPr>
          <m:jc m:val="left"/>
        </m:oMathParaPr>
        <m:oMath>
          <m:r>
            <w:rPr>
              <w:rFonts w:ascii="Cambria Math" w:eastAsia="宋体" w:hAnsi="Cambria Math" w:cs="Cambria Math"/>
            </w:rPr>
            <m:t>a</m:t>
          </m:r>
        </m:oMath>
      </m:oMathPara>
      <w:r>
        <w:rPr>
          <w:sz w:val="21"/>
        </w:rPr>
        <w:t>的可能取值为8，9.</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b/>
          <w:sz w:val="24"/>
        </w:rPr>
        <w:t>（三）独立性检验的基本思想</w:t>
      </w:r>
    </w:p>
    <w:p>
      <w:pPr>
        <w:shd w:val="clear" w:color="auto" w:fill="auto"/>
        <w:spacing w:line="360" w:lineRule="auto"/>
        <w:jc w:val="left"/>
        <w:rPr>
          <w:sz w:val="21"/>
        </w:rPr>
      </w:pPr>
      <w:r>
        <w:rPr>
          <w:sz w:val="21"/>
        </w:rPr>
        <w:t>25．在一个</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列联表中，由其数据计算得</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4.097</m:t>
          </m:r>
        </m:oMath>
      </m:oMathPara>
      <w:r>
        <w:rPr>
          <w:sz w:val="21"/>
        </w:rPr>
        <w:t>，认为两个变量有关系犯错误的概率不超过</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附：常用的小概率值和临界值表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2"/>
        <w:gridCol w:w="272"/>
        <w:gridCol w:w="272"/>
        <w:gridCol w:w="272"/>
        <w:gridCol w:w="272"/>
        <w:gridCol w:w="27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α</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0.05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0.01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0.005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0.001</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α</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2.706</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3.841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6.635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7.879</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10.828</m:t>
                </m:r>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0.05</m:t>
          </m:r>
        </m:oMath>
      </m:oMathPara>
      <w:r>
        <w:rPr>
          <w:sz w:val="21"/>
        </w:rPr>
        <w:t>##</w:t>
      </w:r>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20</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【知识点】独立性检验的基本思想</w:t>
      </w:r>
    </w:p>
    <w:p>
      <w:pPr>
        <w:shd w:val="clear" w:color="auto" w:fill="auto"/>
        <w:spacing w:line="360" w:lineRule="auto"/>
        <w:jc w:val="left"/>
        <w:rPr>
          <w:sz w:val="21"/>
        </w:rPr>
      </w:pPr>
      <w:r>
        <w:rPr>
          <w:sz w:val="21"/>
        </w:rPr>
        <w:t>【分析】根据</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oMath>
      </m:oMathPara>
      <w:r>
        <w:rPr>
          <w:sz w:val="21"/>
        </w:rPr>
        <w:t>的值结合临界值表可得出结论.</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4.097</m:t>
          </m:r>
          <m:r>
            <w:rPr>
              <w:rFonts w:ascii="Cambria Math" w:eastAsia="宋体" w:hAnsi="Cambria Math" w:cs="Cambria Math"/>
            </w:rPr>
            <m:t>&gt;</m:t>
          </m:r>
          <m:r>
            <w:rPr>
              <w:rFonts w:ascii="Cambria Math" w:eastAsia="宋体" w:hAnsi="Cambria Math" w:cs="Cambria Math"/>
            </w:rPr>
            <m:t>3.841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0.05</m:t>
              </m:r>
            </m:sub>
          </m:sSub>
        </m:oMath>
      </m:oMathPara>
      <w:r>
        <w:rPr>
          <w:sz w:val="21"/>
        </w:rPr>
        <w:t>，故认为两个变量有关系犯错误的概率不超过</w:t>
      </w:r>
      <m:oMathPara>
        <m:oMathParaPr>
          <m:jc m:val="left"/>
        </m:oMathParaPr>
        <m:oMath>
          <m:r>
            <w:rPr>
              <w:rFonts w:ascii="Cambria Math" w:eastAsia="宋体" w:hAnsi="Cambria Math" w:cs="Cambria Math"/>
            </w:rPr>
            <m:t>0.05</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0.05</m:t>
          </m:r>
        </m:oMath>
      </m:oMathPara>
      <w:r>
        <w:rPr>
          <w:sz w:val="21"/>
        </w:rPr>
        <w:t>.</w:t>
      </w:r>
    </w:p>
    <w:p>
      <w:pPr>
        <w:shd w:val="clear" w:color="auto" w:fill="auto"/>
        <w:spacing w:line="360" w:lineRule="auto"/>
        <w:jc w:val="left"/>
        <w:rPr>
          <w:sz w:val="21"/>
        </w:rPr>
      </w:pPr>
      <w:r>
        <w:rPr>
          <w:sz w:val="21"/>
        </w:rPr>
        <w:t>26．若在研究吸烟与患肺癌的关系中，通过收集、整理、分析数据得到“吸烟与患肺癌有关”的结论，且有99％以上的把握认为这个结论是成立的，则下列说法中正确的是（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A．在犯错误的概率不超过0.01的前提下，认为吸烟和患肺癌有关系</w:t>
      </w:r>
    </w:p>
    <w:p>
      <w:pPr>
        <w:shd w:val="clear" w:color="auto" w:fill="auto"/>
        <w:spacing w:line="360" w:lineRule="auto"/>
        <w:jc w:val="left"/>
        <w:rPr>
          <w:sz w:val="21"/>
        </w:rPr>
      </w:pPr>
      <w:r>
        <w:rPr>
          <w:sz w:val="21"/>
        </w:rPr>
        <w:t>B．1个人吸烟，那么这个人有99％的概率患有肺癌</w:t>
      </w:r>
    </w:p>
    <w:p>
      <w:pPr>
        <w:shd w:val="clear" w:color="auto" w:fill="auto"/>
        <w:spacing w:line="360" w:lineRule="auto"/>
        <w:jc w:val="left"/>
        <w:rPr>
          <w:sz w:val="21"/>
        </w:rPr>
      </w:pPr>
      <w:r>
        <w:rPr>
          <w:sz w:val="21"/>
        </w:rPr>
        <w:t>C．在100个吸烟者中一定有患肺癌的人</w:t>
      </w:r>
    </w:p>
    <w:p>
      <w:pPr>
        <w:shd w:val="clear" w:color="auto" w:fill="auto"/>
        <w:spacing w:line="360" w:lineRule="auto"/>
        <w:jc w:val="left"/>
        <w:rPr>
          <w:sz w:val="21"/>
        </w:rPr>
      </w:pPr>
      <w:r>
        <w:rPr>
          <w:sz w:val="21"/>
        </w:rPr>
        <w:t>D．在100个吸烟者中可能一个患肺癌的人也没有</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【知识点】独立性检验的基本思想</w:t>
      </w:r>
    </w:p>
    <w:p>
      <w:pPr>
        <w:shd w:val="clear" w:color="auto" w:fill="auto"/>
        <w:spacing w:line="360" w:lineRule="auto"/>
        <w:jc w:val="left"/>
        <w:rPr>
          <w:sz w:val="21"/>
        </w:rPr>
      </w:pPr>
      <w:r>
        <w:rPr>
          <w:sz w:val="21"/>
        </w:rPr>
        <w:t>【分析】根据独立性假设检验的意义，即可作出判定.</w:t>
      </w:r>
    </w:p>
    <w:p>
      <w:pPr>
        <w:shd w:val="clear" w:color="auto" w:fill="auto"/>
        <w:spacing w:line="360" w:lineRule="auto"/>
        <w:jc w:val="left"/>
        <w:rPr>
          <w:sz w:val="21"/>
        </w:rPr>
      </w:pPr>
      <w:r>
        <w:rPr>
          <w:sz w:val="21"/>
        </w:rPr>
        <w:t>【详解】有99％以上的把握即在犯错误的概率不超过0.01的前提下，认为吸烟与患肺癌有关，故</w:t>
      </w:r>
      <w:r>
        <w:rPr>
          <w:rFonts w:ascii="Times New Roman" w:eastAsia="Times New Roman" w:hAnsi="Times New Roman" w:cs="Times New Roman"/>
          <w:i/>
          <w:sz w:val="21"/>
        </w:rPr>
        <w:t>A</w:t>
      </w:r>
      <w:r>
        <w:rPr>
          <w:sz w:val="21"/>
        </w:rPr>
        <w:t>正确，</w:t>
      </w:r>
      <w:r>
        <w:rPr>
          <w:rFonts w:ascii="Times New Roman" w:eastAsia="Times New Roman" w:hAnsi="Times New Roman" w:cs="Times New Roman"/>
          <w:i/>
          <w:sz w:val="21"/>
        </w:rPr>
        <w:t>B</w:t>
      </w:r>
      <w:r>
        <w:rPr>
          <w:sz w:val="21"/>
        </w:rPr>
        <w:t>错误．</w:t>
      </w:r>
    </w:p>
    <w:p>
      <w:pPr>
        <w:shd w:val="clear" w:color="auto" w:fill="auto"/>
        <w:spacing w:line="360" w:lineRule="auto"/>
        <w:jc w:val="left"/>
        <w:rPr>
          <w:sz w:val="21"/>
        </w:rPr>
      </w:pPr>
      <w:r>
        <w:rPr>
          <w:sz w:val="21"/>
        </w:rPr>
        <w:t>独立性检验的结论是一个统计量，统计的结果只是说明事件发生的可能性的大小，具体到一个个体，则不一定发生，故</w:t>
      </w:r>
      <w:r>
        <w:rPr>
          <w:rFonts w:ascii="Times New Roman" w:eastAsia="Times New Roman" w:hAnsi="Times New Roman" w:cs="Times New Roman"/>
          <w:i/>
          <w:sz w:val="21"/>
        </w:rPr>
        <w:t>C</w:t>
      </w:r>
      <w:r>
        <w:rPr>
          <w:sz w:val="21"/>
        </w:rPr>
        <w:t>错误，</w:t>
      </w:r>
      <w:r>
        <w:rPr>
          <w:rFonts w:ascii="Times New Roman" w:eastAsia="Times New Roman" w:hAnsi="Times New Roman" w:cs="Times New Roman"/>
          <w:i/>
          <w:sz w:val="21"/>
        </w:rPr>
        <w:t>D</w:t>
      </w:r>
      <w:r>
        <w:rPr>
          <w:sz w:val="21"/>
        </w:rPr>
        <w:t>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27．某医疗研究机构为了了解免疫与注射疫苗的关系，进行一次抽样调查，得到数据如表．</w:t>
      </w:r>
    </w:p>
    <w:tbl>
      <w:tblPr>
        <w:tblStyle w:val="TableNormal"/>
        <w:tblW w:w="6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459"/>
        <w:gridCol w:w="930"/>
        <w:gridCol w:w="965"/>
        <w:gridCol w:w="1061"/>
      </w:tblGrid>
      <w:tr>
        <w:tblPrEx>
          <w:tblW w:w="6435" w:type="dxa"/>
        </w:tblPrEx>
        <w:trPr>
          <w:cantSplit w:val="0"/>
        </w:trPr>
        <w:tc>
          <w:tcPr>
            <w:tcW w:w="3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是否注射疫苗</w:t>
            </w:r>
          </w:p>
          <w:p>
            <w:pPr>
              <w:shd w:val="clear" w:color="auto" w:fill="auto"/>
              <w:spacing w:line="360" w:lineRule="auto"/>
              <w:jc w:val="center"/>
              <w:rPr>
                <w:sz w:val="21"/>
              </w:rPr>
            </w:pPr>
            <w:r>
              <w:rPr>
                <w:sz w:val="21"/>
              </w:rPr>
              <w:t>免疫情况</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免疫</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不免疫</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总计</w:t>
            </w:r>
          </w:p>
        </w:tc>
      </w:tr>
      <w:tr>
        <w:tblPrEx>
          <w:tblW w:w="6435" w:type="dxa"/>
        </w:tblPrEx>
        <w:trPr>
          <w:cantSplit w:val="0"/>
        </w:trPr>
        <w:tc>
          <w:tcPr>
            <w:tcW w:w="3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注射疫苗</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r>
      <w:tr>
        <w:tblPrEx>
          <w:tblW w:w="6435" w:type="dxa"/>
        </w:tblPrEx>
        <w:trPr>
          <w:cantSplit w:val="0"/>
        </w:trPr>
        <w:tc>
          <w:tcPr>
            <w:tcW w:w="3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未注射疫苗</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34</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40</w:t>
            </w:r>
          </w:p>
        </w:tc>
      </w:tr>
      <w:tr>
        <w:tblPrEx>
          <w:tblW w:w="6435" w:type="dxa"/>
        </w:tblPrEx>
        <w:trPr>
          <w:cantSplit w:val="0"/>
        </w:trPr>
        <w:tc>
          <w:tcPr>
            <w:tcW w:w="3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总计</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44</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60</w:t>
            </w:r>
          </w:p>
        </w:tc>
      </w:tr>
    </w:tbl>
    <w:p>
      <w:pPr>
        <w:shd w:val="clear" w:color="auto" w:fill="auto"/>
        <w:spacing w:line="360" w:lineRule="auto"/>
        <w:jc w:val="left"/>
        <w:rPr>
          <w:sz w:val="21"/>
        </w:rPr>
      </w:pPr>
      <w:r>
        <w:rPr>
          <w:sz w:val="21"/>
        </w:rPr>
        <w:t>则下列说法中正确的是（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参考公式：</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den>
          </m:f>
        </m:oMath>
      </m:oMathPara>
      <w:r>
        <w:rPr>
          <w:sz w:val="21"/>
        </w:rPr>
        <w:t>，其中</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临界值表：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744"/>
        <w:gridCol w:w="744"/>
        <w:gridCol w:w="744"/>
        <w:gridCol w:w="744"/>
        <w:gridCol w:w="85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0</m:t>
                        </m:r>
                      </m:sub>
                    </m:sSub>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0</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7.879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10.828</w:t>
            </w:r>
          </w:p>
        </w:tc>
      </w:tr>
    </w:tbl>
    <w:p>
      <w:pPr>
        <w:shd w:val="clear" w:color="auto" w:fill="auto"/>
        <w:spacing w:line="360" w:lineRule="auto"/>
        <w:jc w:val="left"/>
        <w:rPr>
          <w:sz w:val="21"/>
        </w:rPr>
      </w:pPr>
      <w:r>
        <w:rPr>
          <w:sz w:val="21"/>
        </w:rPr>
        <w:t>A．</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8.35</m:t>
          </m:r>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6.635</m:t>
              </m:r>
            </m:e>
          </m:d>
          <m:r>
            <w:rPr>
              <w:rFonts w:ascii="Cambria Math" w:eastAsia="宋体" w:hAnsi="Cambria Math" w:cs="Cambria Math"/>
            </w:rPr>
            <m:t>≈</m:t>
          </m:r>
          <m:r>
            <w:rPr>
              <w:rFonts w:ascii="Cambria Math" w:eastAsia="宋体" w:hAnsi="Cambria Math" w:cs="Cambria Math"/>
            </w:rPr>
            <m:t>0.001</m:t>
          </m:r>
        </m:oMath>
      </m:oMathPara>
    </w:p>
    <w:p>
      <w:pPr>
        <w:shd w:val="clear" w:color="auto" w:fill="auto"/>
        <w:spacing w:line="360" w:lineRule="auto"/>
        <w:jc w:val="left"/>
        <w:rPr>
          <w:sz w:val="21"/>
        </w:rPr>
      </w:pPr>
      <w:r>
        <w:rPr>
          <w:sz w:val="21"/>
        </w:rPr>
        <w:t>C．有90%以上的把握判断免疫与注射疫苗有关系</w:t>
      </w:r>
    </w:p>
    <w:p>
      <w:pPr>
        <w:shd w:val="clear" w:color="auto" w:fill="auto"/>
        <w:spacing w:line="360" w:lineRule="auto"/>
        <w:jc w:val="left"/>
        <w:rPr>
          <w:sz w:val="21"/>
        </w:rPr>
      </w:pPr>
      <w:r>
        <w:rPr>
          <w:sz w:val="21"/>
        </w:rPr>
        <w:t>D．没有99%的把握判断免疫与注射疫苗有关系</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【知识点】卡方的计算、独立性检验的基本思想</w:t>
      </w:r>
    </w:p>
    <w:p>
      <w:pPr>
        <w:shd w:val="clear" w:color="auto" w:fill="auto"/>
        <w:spacing w:line="360" w:lineRule="auto"/>
        <w:jc w:val="left"/>
        <w:rPr>
          <w:sz w:val="21"/>
        </w:rPr>
      </w:pPr>
      <w:r>
        <w:rPr>
          <w:sz w:val="21"/>
        </w:rPr>
        <w:t>【分析】由列联表计算出卡方，再根据独立检验的概念判断即可.</w:t>
      </w:r>
    </w:p>
    <w:p>
      <w:pPr>
        <w:shd w:val="clear" w:color="auto" w:fill="auto"/>
        <w:spacing w:line="360" w:lineRule="auto"/>
        <w:jc w:val="left"/>
        <w:rPr>
          <w:sz w:val="21"/>
        </w:rPr>
      </w:pPr>
      <w:r>
        <w:rPr>
          <w:sz w:val="21"/>
        </w:rPr>
        <w:t>【详解】解：由表中数据，得</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60</m:t>
              </m:r>
              <m:sSup>
                <m:e>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10</m:t>
                      </m:r>
                    </m:e>
                  </m:d>
                </m:e>
                <m:sup>
                  <m:r>
                    <w:rPr>
                      <w:rFonts w:ascii="Cambria Math" w:eastAsia="宋体" w:hAnsi="Cambria Math" w:cs="Cambria Math"/>
                    </w:rPr>
                    <m:t>2</m:t>
                  </m:r>
                </m:sup>
              </m:sSup>
            </m:num>
            <m:den>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44</m:t>
              </m:r>
            </m:den>
          </m:f>
          <m:r>
            <w:rPr>
              <w:rFonts w:ascii="Cambria Math" w:eastAsia="宋体" w:hAnsi="Cambria Math" w:cs="Cambria Math"/>
            </w:rPr>
            <m:t>≈</m:t>
          </m:r>
          <m:r>
            <w:rPr>
              <w:rFonts w:ascii="Cambria Math" w:eastAsia="宋体" w:hAnsi="Cambria Math" w:cs="Cambria Math"/>
            </w:rPr>
            <m:t>8.35</m:t>
          </m:r>
        </m:oMath>
      </m:oMathPara>
      <w:r>
        <w:rPr>
          <w:sz w:val="21"/>
        </w:rPr>
        <w:t>，所以A正确；</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6.635</m:t>
              </m:r>
            </m:e>
          </m:d>
          <m:r>
            <w:rPr>
              <w:rFonts w:ascii="Cambria Math" w:eastAsia="宋体" w:hAnsi="Cambria Math" w:cs="Cambria Math"/>
            </w:rPr>
            <m:t>≈</m:t>
          </m:r>
          <m:r>
            <w:rPr>
              <w:rFonts w:ascii="Cambria Math" w:eastAsia="宋体" w:hAnsi="Cambria Math" w:cs="Cambria Math"/>
            </w:rPr>
            <m:t>0.01</m:t>
          </m:r>
        </m:oMath>
      </m:oMathPara>
      <w:r>
        <w:rPr>
          <w:sz w:val="21"/>
        </w:rPr>
        <w:t>，所以B错误；</w:t>
      </w:r>
    </w:p>
    <w:p>
      <w:pPr>
        <w:shd w:val="clear" w:color="auto" w:fill="auto"/>
        <w:spacing w:line="360" w:lineRule="auto"/>
        <w:jc w:val="left"/>
        <w:rPr>
          <w:sz w:val="21"/>
        </w:rPr>
      </w:pPr>
      <m:oMathPara>
        <m:oMathParaPr>
          <m:jc m:val="left"/>
        </m:oMathParaPr>
        <m:oMath>
          <m:r>
            <w:rPr>
              <w:rFonts w:ascii="Cambria Math" w:eastAsia="宋体" w:hAnsi="Cambria Math" w:cs="Cambria Math"/>
            </w:rPr>
            <m:t>8.35</m:t>
          </m:r>
          <m:r>
            <w:rPr>
              <w:rFonts w:ascii="Cambria Math" w:eastAsia="宋体" w:hAnsi="Cambria Math" w:cs="Cambria Math"/>
            </w:rPr>
            <m:t>&gt;</m:t>
          </m:r>
          <m:r>
            <w:rPr>
              <w:rFonts w:ascii="Cambria Math" w:eastAsia="宋体" w:hAnsi="Cambria Math" w:cs="Cambria Math"/>
            </w:rPr>
            <m:t>6.635</m:t>
          </m:r>
          <m:r>
            <w:rPr>
              <w:rFonts w:ascii="Cambria Math" w:eastAsia="宋体" w:hAnsi="Cambria Math" w:cs="Cambria Math"/>
            </w:rPr>
            <m:t>&gt;</m:t>
          </m:r>
          <m:r>
            <w:rPr>
              <w:rFonts w:ascii="Cambria Math" w:eastAsia="宋体" w:hAnsi="Cambria Math" w:cs="Cambria Math"/>
            </w:rPr>
            <m:t>2.706</m:t>
          </m:r>
        </m:oMath>
      </m:oMathPara>
      <w:r>
        <w:rPr>
          <w:sz w:val="21"/>
        </w:rPr>
        <w:t>，所以有</w:t>
      </w:r>
      <m:oMathPara>
        <m:oMathParaPr>
          <m:jc m:val="left"/>
        </m:oMathParaPr>
        <m:oMath>
          <m:r>
            <w:rPr>
              <w:rFonts w:ascii="Cambria Math" w:eastAsia="宋体" w:hAnsi="Cambria Math" w:cs="Cambria Math"/>
            </w:rPr>
            <m:t>90</m:t>
          </m:r>
          <m:r>
            <m:rPr>
              <m:sty m:val="p"/>
            </m:rPr>
            <w:rPr>
              <w:rFonts w:ascii="Cambria Math" w:eastAsia="宋体" w:hAnsi="Cambria Math" w:cs="Cambria Math"/>
            </w:rPr>
            <m:t>%</m:t>
          </m:r>
        </m:oMath>
      </m:oMathPara>
      <w:r>
        <w:rPr>
          <w:sz w:val="21"/>
        </w:rPr>
        <w:t>以上的把握判断免疫与注射疫苗有关系，也有</w:t>
      </w:r>
      <m:oMathPara>
        <m:oMathParaPr>
          <m:jc m:val="left"/>
        </m:oMathParaPr>
        <m:oMath>
          <m:r>
            <w:rPr>
              <w:rFonts w:ascii="Cambria Math" w:eastAsia="宋体" w:hAnsi="Cambria Math" w:cs="Cambria Math"/>
            </w:rPr>
            <m:t>99</m:t>
          </m:r>
          <m:r>
            <m:rPr>
              <m:sty m:val="p"/>
            </m:rPr>
            <w:rPr>
              <w:rFonts w:ascii="Cambria Math" w:eastAsia="宋体" w:hAnsi="Cambria Math" w:cs="Cambria Math"/>
            </w:rPr>
            <m:t>%</m:t>
          </m:r>
        </m:oMath>
      </m:oMathPara>
      <w:r>
        <w:rPr>
          <w:sz w:val="21"/>
        </w:rPr>
        <w:t>以上的把握判断免疫与注射疫苗有关系，所以C正确，D错误．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28．假设2个分类变量</w:t>
      </w:r>
      <m:oMathPara>
        <m:oMathParaPr>
          <m:jc m:val="left"/>
        </m:oMathParaPr>
        <m:oMath>
          <m:r>
            <w:rPr>
              <w:rFonts w:ascii="Cambria Math" w:eastAsia="宋体" w:hAnsi="Cambria Math" w:cs="Cambria Math"/>
            </w:rPr>
            <m:t>X</m:t>
          </m:r>
        </m:oMath>
      </m:oMathPara>
      <w:r>
        <w:rPr>
          <w:sz w:val="21"/>
        </w:rPr>
        <w:t>和</w:t>
      </w:r>
      <m:oMathPara>
        <m:oMathParaPr>
          <m:jc m:val="left"/>
        </m:oMathParaPr>
        <m:oMath>
          <m:r>
            <w:rPr>
              <w:rFonts w:ascii="Cambria Math" w:eastAsia="宋体" w:hAnsi="Cambria Math" w:cs="Cambria Math"/>
            </w:rPr>
            <m:t>Y</m:t>
          </m:r>
        </m:oMath>
      </m:oMathPara>
      <w:r>
        <w:rPr>
          <w:sz w:val="21"/>
        </w:rPr>
        <w:t>的</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列联表如下：</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0"/>
        <w:gridCol w:w="2000"/>
        <w:gridCol w:w="1994"/>
        <w:gridCol w:w="2007"/>
        <w:gridCol w:w="2035"/>
      </w:tblGrid>
      <w:tr>
        <w:tblPrEx>
          <w:tblW w:w="8325" w:type="dxa"/>
        </w:tblPrEx>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Y</m:t>
                </m:r>
              </m:oMath>
            </m:oMathPara>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blPrEx>
          <w:tblW w:w="8325" w:type="dxa"/>
        </w:tblPrEx>
        <w:trPr>
          <w:cantSplit w:val="0"/>
        </w:trPr>
        <w:tc>
          <w:tcPr>
            <w:gridSpan w:val="2"/>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oMath>
            </m:oMathPara>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oMath>
            </m:oMathPara>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8325"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oMath>
            </m:oMathPara>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c</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oMath>
            </m:oMathPara>
          </w:p>
        </w:tc>
      </w:tr>
      <w:tr>
        <w:tblPrEx>
          <w:tblW w:w="8325" w:type="dxa"/>
        </w:tblPrEx>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r>
    </w:tbl>
    <w:p>
      <w:pPr>
        <w:shd w:val="clear" w:color="auto" w:fill="auto"/>
        <w:spacing w:line="360" w:lineRule="auto"/>
        <w:jc w:val="left"/>
        <w:rPr>
          <w:sz w:val="21"/>
        </w:rPr>
      </w:pPr>
      <w:r>
        <w:rPr>
          <w:sz w:val="21"/>
        </w:rPr>
        <w:t>对于同一样本，以下数据能说明</w:t>
      </w:r>
      <m:oMathPara>
        <m:oMathParaPr>
          <m:jc m:val="left"/>
        </m:oMathParaPr>
        <m:oMath>
          <m:r>
            <w:rPr>
              <w:rFonts w:ascii="Cambria Math" w:eastAsia="宋体" w:hAnsi="Cambria Math" w:cs="Cambria Math"/>
            </w:rPr>
            <m:t>X</m:t>
          </m:r>
        </m:oMath>
      </m:oMathPara>
      <w:r>
        <w:rPr>
          <w:sz w:val="21"/>
        </w:rPr>
        <w:t>和</w:t>
      </w:r>
      <m:oMathPara>
        <m:oMathParaPr>
          <m:jc m:val="left"/>
        </m:oMathParaPr>
        <m:oMath>
          <m:r>
            <w:rPr>
              <w:rFonts w:ascii="Cambria Math" w:eastAsia="宋体" w:hAnsi="Cambria Math" w:cs="Cambria Math"/>
            </w:rPr>
            <m:t>Y</m:t>
          </m:r>
        </m:oMath>
      </m:oMathPara>
      <w:r>
        <w:rPr>
          <w:sz w:val="21"/>
        </w:rPr>
        <w:t>有关系的可能性最大的一组是（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40</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20</m:t>
          </m:r>
        </m:oMath>
      </m:oMathPara>
      <w:r>
        <w:rPr>
          <w:sz w:val="21"/>
        </w:rPr>
        <w:tab/>
      </w: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45</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15</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35</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25</m:t>
          </m:r>
        </m:oMath>
      </m:oMathPara>
      <w:r>
        <w:rPr>
          <w:sz w:val="21"/>
        </w:rPr>
        <w:tab/>
      </w:r>
      <w:r>
        <w:rPr>
          <w:sz w:val="21"/>
        </w:rPr>
        <w:t>D．</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【知识点】独立性检验的基本思想</w:t>
      </w:r>
    </w:p>
    <w:p>
      <w:pPr>
        <w:shd w:val="clear" w:color="auto" w:fill="auto"/>
        <w:spacing w:line="360" w:lineRule="auto"/>
        <w:jc w:val="left"/>
        <w:rPr>
          <w:sz w:val="21"/>
        </w:rPr>
      </w:pPr>
      <w:r>
        <w:rPr>
          <w:sz w:val="21"/>
        </w:rPr>
        <w:t>【分析】根据</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列联表和独立性检验的相关知识，知当</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一定时，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oMath>
      </m:oMathPara>
      <w:r>
        <w:rPr>
          <w:sz w:val="21"/>
        </w:rPr>
        <w:t>相差越大，</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oMath>
      </m:oMathPara>
      <w:r>
        <w:rPr>
          <w:sz w:val="21"/>
        </w:rPr>
        <w:t>就越大，从而</w:t>
      </w:r>
      <m:oMathPara>
        <m:oMathParaPr>
          <m:jc m:val="left"/>
        </m:oMathParaPr>
        <m:oMath>
          <m:r>
            <w:rPr>
              <w:rFonts w:ascii="Cambria Math" w:eastAsia="宋体" w:hAnsi="Cambria Math" w:cs="Cambria Math"/>
            </w:rPr>
            <m:t>X</m:t>
          </m:r>
        </m:oMath>
      </m:oMathPara>
      <w:r>
        <w:rPr>
          <w:sz w:val="21"/>
        </w:rPr>
        <w:t>和</w:t>
      </w:r>
      <m:oMathPara>
        <m:oMathParaPr>
          <m:jc m:val="left"/>
        </m:oMathParaPr>
        <m:oMath>
          <m:r>
            <w:rPr>
              <w:rFonts w:ascii="Cambria Math" w:eastAsia="宋体" w:hAnsi="Cambria Math" w:cs="Cambria Math"/>
            </w:rPr>
            <m:t>Y</m:t>
          </m:r>
        </m:oMath>
      </m:oMathPara>
      <w:r>
        <w:rPr>
          <w:sz w:val="21"/>
        </w:rPr>
        <w:t>有关系的可能性越大，再结合选项判断即可.</w:t>
      </w:r>
    </w:p>
    <w:p>
      <w:pPr>
        <w:shd w:val="clear" w:color="auto" w:fill="auto"/>
        <w:spacing w:line="360" w:lineRule="auto"/>
        <w:jc w:val="left"/>
        <w:rPr>
          <w:sz w:val="21"/>
        </w:rPr>
      </w:pPr>
      <w:r>
        <w:rPr>
          <w:sz w:val="21"/>
        </w:rPr>
        <w:t>【详解】解：</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d>
                    <m:dPr>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e>
                <m:sup>
                  <m:r>
                    <w:rPr>
                      <w:rFonts w:ascii="Cambria Math" w:eastAsia="宋体" w:hAnsi="Cambria Math" w:cs="Cambria Math"/>
                    </w:rPr>
                    <m:t>2</m:t>
                  </m:r>
                </m:sup>
              </m:sSup>
            </m:num>
            <m:den>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den>
          </m:f>
          <m:r>
            <w:rPr>
              <w:rFonts w:ascii="Cambria Math" w:eastAsia="宋体" w:hAnsi="Cambria Math" w:cs="Cambria Math"/>
            </w:rPr>
            <m:t>=</m:t>
          </m:r>
          <m:r>
            <w:rPr>
              <w:rFonts w:ascii="Cambria Math" w:eastAsia="宋体" w:hAnsi="Cambria Math" w:cs="Cambria Math"/>
            </w:rPr>
            <m:t>n</m:t>
          </m:r>
          <m:d>
            <m:dPr>
              <m:sepChr m:val=","/>
            </m:dPr>
            <m:e>
              <m:f>
                <m:num>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den>
              </m:f>
            </m:e>
          </m:d>
          <m:r>
            <w:rPr>
              <w:rFonts w:ascii="Cambria Math" w:eastAsia="宋体" w:hAnsi="Cambria Math" w:cs="Cambria Math"/>
            </w:rPr>
            <m:t>⋅</m:t>
          </m:r>
          <m:d>
            <m:dPr>
              <m:sepChr m:val=","/>
            </m:dPr>
            <m:e>
              <m:f>
                <m:num>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den>
              </m:f>
            </m:e>
          </m:d>
        </m:oMath>
      </m:oMathPara>
      <w:r>
        <w:rPr>
          <w:sz w:val="21"/>
        </w:rPr>
        <w:t>，</w:t>
      </w:r>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列联表和独立性检验的相关知识，知当</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一定时，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oMath>
      </m:oMathPara>
      <w:r>
        <w:rPr>
          <w:sz w:val="21"/>
        </w:rPr>
        <w:t>相差越大，</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den>
          </m:f>
        </m:oMath>
      </m:oMathPara>
      <w:r>
        <w:rPr>
          <w:sz w:val="21"/>
        </w:rPr>
        <w:t>与</w:t>
      </w:r>
      <m:oMathPara>
        <m:oMathParaPr>
          <m:jc m:val="left"/>
        </m:oMathParaPr>
        <m:oMath>
          <m:f>
            <m:num>
              <m:r>
                <w:rPr>
                  <w:rFonts w:ascii="Cambria Math" w:eastAsia="宋体" w:hAnsi="Cambria Math" w:cs="Cambria Math"/>
                </w:rPr>
                <m:t>c</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den>
          </m:f>
        </m:oMath>
      </m:oMathPara>
      <w:r>
        <w:rPr>
          <w:sz w:val="21"/>
        </w:rPr>
        <w:t>相差就越大，</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oMath>
      </m:oMathPara>
      <w:r>
        <w:rPr>
          <w:sz w:val="21"/>
        </w:rPr>
        <w:t>就越大，即</w:t>
      </w:r>
      <m:oMathPara>
        <m:oMathParaPr>
          <m:jc m:val="left"/>
        </m:oMathParaPr>
        <m:oMath>
          <m:r>
            <w:rPr>
              <w:rFonts w:ascii="Cambria Math" w:eastAsia="宋体" w:hAnsi="Cambria Math" w:cs="Cambria Math"/>
            </w:rPr>
            <m:t>X</m:t>
          </m:r>
        </m:oMath>
      </m:oMathPara>
      <w:r>
        <w:rPr>
          <w:sz w:val="21"/>
        </w:rPr>
        <w:t>和</w:t>
      </w:r>
      <m:oMathPara>
        <m:oMathParaPr>
          <m:jc m:val="left"/>
        </m:oMathParaPr>
        <m:oMath>
          <m:r>
            <w:rPr>
              <w:rFonts w:ascii="Cambria Math" w:eastAsia="宋体" w:hAnsi="Cambria Math" w:cs="Cambria Math"/>
            </w:rPr>
            <m:t>Y</m:t>
          </m:r>
        </m:oMath>
      </m:oMathPara>
      <w:r>
        <w:rPr>
          <w:sz w:val="21"/>
        </w:rPr>
        <w:t>有关系的可能性越大，</w:t>
      </w:r>
    </w:p>
    <w:p>
      <w:pPr>
        <w:shd w:val="clear" w:color="auto" w:fill="auto"/>
        <w:spacing w:line="360" w:lineRule="auto"/>
        <w:jc w:val="left"/>
        <w:rPr>
          <w:sz w:val="21"/>
        </w:rPr>
      </w:pPr>
      <w:r>
        <w:rPr>
          <w:sz w:val="21"/>
        </w:rPr>
        <w:t>结合选项，知B中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oMath>
      </m:oMathPara>
      <w:r>
        <w:rPr>
          <w:sz w:val="21"/>
        </w:rPr>
        <w:t>与其他选项相比相差最大．</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29．为考察某种药物预防疾病的效果，某机构进行了动物试验，得到如下列联表：</w:t>
      </w:r>
    </w:p>
    <w:p>
      <w:pPr>
        <w:shd w:val="clear" w:color="auto" w:fill="auto"/>
        <w:spacing w:line="360" w:lineRule="auto"/>
        <w:jc w:val="left"/>
        <w:rPr>
          <w:sz w:val="21"/>
        </w:rPr>
      </w:pPr>
      <w:r>
        <w:rPr>
          <w:sz w:val="21"/>
        </w:rPr>
        <w:t>单位：人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692"/>
        <w:gridCol w:w="903"/>
        <w:gridCol w:w="692"/>
      </w:tblGrid>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药物</w:t>
            </w:r>
            <w:r>
              <w:rPr>
                <w:rFonts w:ascii="Times New Roman" w:eastAsia="Times New Roman" w:hAnsi="Times New Roman" w:cs="Times New Roman"/>
                <w:i/>
                <w:sz w:val="21"/>
              </w:rPr>
              <w:t>A</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疾病</w:t>
            </w:r>
            <w:r>
              <w:rPr>
                <w:rFonts w:ascii="Times New Roman" w:eastAsia="Times New Roman" w:hAnsi="Times New Roman" w:cs="Times New Roman"/>
                <w:i/>
                <w:sz w:val="21"/>
              </w:rPr>
              <w:t>B</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患病</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未患病</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服用药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没服用药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105</w:t>
            </w:r>
          </w:p>
        </w:tc>
      </w:tr>
    </w:tbl>
    <w:p>
      <w:pPr>
        <w:shd w:val="clear" w:color="auto" w:fill="auto"/>
        <w:spacing w:line="360" w:lineRule="auto"/>
        <w:jc w:val="left"/>
        <w:rPr>
          <w:sz w:val="21"/>
        </w:rPr>
      </w:pPr>
      <w:r>
        <w:rPr>
          <w:sz w:val="21"/>
        </w:rPr>
        <w:t>由上述数据得出下列结论，其中结论正确的是（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A．依据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0.05</m:t>
          </m:r>
        </m:oMath>
      </m:oMathPara>
      <w:r>
        <w:rPr>
          <w:sz w:val="21"/>
        </w:rPr>
        <w:t>的独立性检验，认为药物有效</w:t>
      </w:r>
      <w:r>
        <w:rPr>
          <w:sz w:val="21"/>
        </w:rPr>
        <w:tab/>
      </w:r>
      <w:r>
        <w:rPr>
          <w:sz w:val="21"/>
        </w:rPr>
        <w:t>B．依据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0.1</m:t>
          </m:r>
        </m:oMath>
      </m:oMathPara>
      <w:r>
        <w:rPr>
          <w:sz w:val="21"/>
        </w:rPr>
        <w:t>的独立性检验，认为药物无效</w:t>
      </w:r>
    </w:p>
    <w:p>
      <w:pPr>
        <w:shd w:val="clear" w:color="auto" w:fill="auto"/>
        <w:tabs>
          <w:tab w:val="left" w:pos="4156"/>
        </w:tabs>
        <w:spacing w:line="360" w:lineRule="auto"/>
        <w:jc w:val="left"/>
        <w:rPr>
          <w:sz w:val="21"/>
        </w:rPr>
      </w:pPr>
      <w:r>
        <w:rPr>
          <w:sz w:val="21"/>
        </w:rPr>
        <w:t>C．依据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0.01</m:t>
          </m:r>
        </m:oMath>
      </m:oMathPara>
      <w:r>
        <w:rPr>
          <w:sz w:val="21"/>
        </w:rPr>
        <w:t>的独立性检验，认为药物有效</w:t>
      </w:r>
      <w:r>
        <w:rPr>
          <w:sz w:val="21"/>
        </w:rPr>
        <w:tab/>
      </w:r>
      <w:r>
        <w:rPr>
          <w:sz w:val="21"/>
        </w:rPr>
        <w:t>D．依据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0.005</m:t>
          </m:r>
        </m:oMath>
      </m:oMathPara>
      <w:r>
        <w:rPr>
          <w:sz w:val="21"/>
        </w:rPr>
        <w:t>的独立性检验，认为药物无效</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【知识点】卡方的计算、独立性检验的基本思想</w:t>
      </w:r>
    </w:p>
    <w:p>
      <w:pPr>
        <w:shd w:val="clear" w:color="auto" w:fill="auto"/>
        <w:spacing w:line="360" w:lineRule="auto"/>
        <w:jc w:val="left"/>
        <w:rPr>
          <w:sz w:val="21"/>
        </w:rPr>
      </w:pPr>
      <w:r>
        <w:rPr>
          <w:sz w:val="21"/>
        </w:rPr>
        <w:t>【分析】根据列联表和卡方计算公式求出</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oMath>
      </m:oMathPara>
      <w:r>
        <w:rPr>
          <w:sz w:val="21"/>
        </w:rPr>
        <w:t>，进而利用独立性检验思想依次判断选项即可.</w:t>
      </w:r>
    </w:p>
    <w:p>
      <w:pPr>
        <w:shd w:val="clear" w:color="auto" w:fill="auto"/>
        <w:spacing w:line="360" w:lineRule="auto"/>
        <w:jc w:val="left"/>
        <w:rPr>
          <w:sz w:val="21"/>
        </w:rPr>
      </w:pPr>
      <w:r>
        <w:rPr>
          <w:sz w:val="21"/>
        </w:rPr>
        <w:t>【详解】依题意得</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105</m:t>
              </m:r>
              <m:r>
                <w:rPr>
                  <w:rFonts w:ascii="Cambria Math" w:eastAsia="宋体" w:hAnsi="Cambria Math" w:cs="Cambria Math"/>
                </w:rPr>
                <m:t>×</m:t>
              </m:r>
              <m:sSup>
                <m:e>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45</m:t>
                      </m:r>
                    </m:e>
                  </m:d>
                </m:e>
                <m:sup>
                  <m:r>
                    <w:rPr>
                      <w:rFonts w:ascii="Cambria Math" w:eastAsia="宋体" w:hAnsi="Cambria Math" w:cs="Cambria Math"/>
                    </w:rPr>
                    <m:t>2</m:t>
                  </m:r>
                </m:sup>
              </m:sSup>
            </m:num>
            <m:den>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55</m:t>
              </m:r>
            </m:den>
          </m:f>
          <m:r>
            <w:rPr>
              <w:rFonts w:ascii="Cambria Math" w:eastAsia="宋体" w:hAnsi="Cambria Math" w:cs="Cambria Math"/>
            </w:rPr>
            <m:t>≈</m:t>
          </m:r>
          <m:r>
            <w:rPr>
              <w:rFonts w:ascii="Cambria Math" w:eastAsia="宋体" w:hAnsi="Cambria Math" w:cs="Cambria Math"/>
            </w:rPr>
            <m:t>6.109</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6.109</m:t>
          </m:r>
          <m:r>
            <w:rPr>
              <w:rFonts w:ascii="Cambria Math" w:eastAsia="宋体" w:hAnsi="Cambria Math" w:cs="Cambria Math"/>
            </w:rPr>
            <m:t>&gt;</m:t>
          </m:r>
          <m:r>
            <w:rPr>
              <w:rFonts w:ascii="Cambria Math" w:eastAsia="宋体" w:hAnsi="Cambria Math" w:cs="Cambria Math"/>
            </w:rPr>
            <m:t>3.841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0.05</m:t>
              </m:r>
            </m:sub>
          </m:sSub>
        </m:oMath>
      </m:oMathPara>
      <w:r>
        <w:rPr>
          <w:sz w:val="21"/>
        </w:rPr>
        <w:t>，∴依据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0.05</m:t>
          </m:r>
        </m:oMath>
      </m:oMathPara>
      <w:r>
        <w:rPr>
          <w:sz w:val="21"/>
        </w:rPr>
        <w:t>的独立性检验，认为药物有效，A正确；</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6.109</m:t>
          </m:r>
          <m:r>
            <w:rPr>
              <w:rFonts w:ascii="Cambria Math" w:eastAsia="宋体" w:hAnsi="Cambria Math" w:cs="Cambria Math"/>
            </w:rPr>
            <m:t>&gt;</m:t>
          </m:r>
          <m:r>
            <w:rPr>
              <w:rFonts w:ascii="Cambria Math" w:eastAsia="宋体" w:hAnsi="Cambria Math" w:cs="Cambria Math"/>
            </w:rPr>
            <m:t>2.706</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0.1</m:t>
              </m:r>
            </m:sub>
          </m:sSub>
        </m:oMath>
      </m:oMathPara>
      <w:r>
        <w:rPr>
          <w:sz w:val="21"/>
        </w:rPr>
        <w:t>，∴依据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0.1</m:t>
          </m:r>
        </m:oMath>
      </m:oMathPara>
      <w:r>
        <w:rPr>
          <w:sz w:val="21"/>
        </w:rPr>
        <w:t>的独立性检验，认为药物有效，B错误；</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6.109</m:t>
          </m:r>
          <m:r>
            <w:rPr>
              <w:rFonts w:ascii="Cambria Math" w:eastAsia="宋体" w:hAnsi="Cambria Math" w:cs="Cambria Math"/>
            </w:rPr>
            <m:t>&lt;</m:t>
          </m:r>
          <m:r>
            <w:rPr>
              <w:rFonts w:ascii="Cambria Math" w:eastAsia="宋体" w:hAnsi="Cambria Math" w:cs="Cambria Math"/>
            </w:rPr>
            <m:t>6.635</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0.01</m:t>
              </m:r>
            </m:sub>
          </m:sSub>
        </m:oMath>
      </m:oMathPara>
      <w:r>
        <w:rPr>
          <w:sz w:val="21"/>
        </w:rPr>
        <w:t>，∴依据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0.01</m:t>
          </m:r>
        </m:oMath>
      </m:oMathPara>
      <w:r>
        <w:rPr>
          <w:sz w:val="21"/>
        </w:rPr>
        <w:t>的独立㤬检验，认为药物无效，C错误；</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6.109</m:t>
          </m:r>
          <m:r>
            <w:rPr>
              <w:rFonts w:ascii="Cambria Math" w:eastAsia="宋体" w:hAnsi="Cambria Math" w:cs="Cambria Math"/>
            </w:rPr>
            <m:t>&lt;</m:t>
          </m:r>
          <m:r>
            <w:rPr>
              <w:rFonts w:ascii="Cambria Math" w:eastAsia="宋体" w:hAnsi="Cambria Math" w:cs="Cambria Math"/>
            </w:rPr>
            <m:t>7.879</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0.005</m:t>
              </m:r>
            </m:sub>
          </m:sSub>
        </m:oMath>
      </m:oMathPara>
      <w:r>
        <w:rPr>
          <w:sz w:val="21"/>
        </w:rPr>
        <w:t>，∴依据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0.005</m:t>
          </m:r>
        </m:oMath>
      </m:oMathPara>
      <w:r>
        <w:rPr>
          <w:sz w:val="21"/>
        </w:rPr>
        <w:t>的独立性检验，认为药物无效，D正确．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（四）独立性检验解决实际问题</w:t>
      </w:r>
    </w:p>
    <w:p>
      <w:pPr>
        <w:shd w:val="clear" w:color="auto" w:fill="auto"/>
        <w:spacing w:line="360" w:lineRule="auto"/>
        <w:jc w:val="left"/>
        <w:rPr>
          <w:sz w:val="21"/>
        </w:rPr>
      </w:pPr>
      <w:r>
        <w:rPr>
          <w:sz w:val="21"/>
        </w:rPr>
        <w:t>30．某校对学生课外活动进行调查，将结果整理成表，试根据小概率值</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0.005</m:t>
          </m:r>
        </m:oMath>
      </m:oMathPara>
      <w:r>
        <w:rPr>
          <w:sz w:val="21"/>
        </w:rPr>
        <w:t>的独立性检验，分析喜欢体育还是喜欢文娱与性别是否有关系．</w:t>
      </w:r>
    </w:p>
    <w:tbl>
      <w:tblPr>
        <w:tblStyle w:val="TableNormal"/>
        <w:tblW w:w="5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4"/>
        <w:gridCol w:w="1611"/>
        <w:gridCol w:w="1736"/>
        <w:gridCol w:w="1179"/>
      </w:tblGrid>
      <w:tr>
        <w:tblPrEx>
          <w:tblW w:w="5850" w:type="dxa"/>
        </w:tblPrEx>
        <w:trPr>
          <w:cantSplit w:val="0"/>
        </w:trPr>
        <w:tc>
          <w:tcPr>
            <w:tcW w:w="126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性别</w:t>
            </w:r>
          </w:p>
        </w:tc>
        <w:tc>
          <w:tcPr>
            <w:tcW w:w="349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喜欢</w:t>
            </w:r>
          </w:p>
        </w:tc>
        <w:tc>
          <w:tcPr>
            <w:tcW w:w="109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585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体育</w:t>
            </w:r>
          </w:p>
        </w:tc>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文娱</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5850" w:type="dxa"/>
        </w:tblPrEx>
        <w:trPr>
          <w:cantSplit w:val="0"/>
        </w:trPr>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男生</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21</w:t>
            </w:r>
          </w:p>
        </w:tc>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23</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44</w:t>
            </w:r>
          </w:p>
        </w:tc>
      </w:tr>
      <w:tr>
        <w:tblPrEx>
          <w:tblW w:w="5850" w:type="dxa"/>
        </w:tblPrEx>
        <w:trPr>
          <w:cantSplit w:val="0"/>
        </w:trPr>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女生</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29</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35</w:t>
            </w:r>
          </w:p>
        </w:tc>
      </w:tr>
      <w:tr>
        <w:tblPrEx>
          <w:tblW w:w="5850" w:type="dxa"/>
        </w:tblPrEx>
        <w:trPr>
          <w:cantSplit w:val="0"/>
        </w:trPr>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27</w:t>
            </w:r>
          </w:p>
        </w:tc>
        <w:tc>
          <w:tcPr>
            <w:tcW w:w="18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52</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79</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【答案】与性别有关．</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【知识点】卡方的计算、独立性检验解决实际问题</w:t>
      </w:r>
    </w:p>
    <w:p>
      <w:pPr>
        <w:shd w:val="clear" w:color="auto" w:fill="auto"/>
        <w:spacing w:line="360" w:lineRule="auto"/>
        <w:jc w:val="left"/>
        <w:rPr>
          <w:sz w:val="21"/>
        </w:rPr>
      </w:pPr>
      <w:r>
        <w:rPr>
          <w:sz w:val="21"/>
        </w:rPr>
        <w:t>【分析】根据列联表的数据，求得</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oMath>
      </m:oMathPara>
      <w:r>
        <w:rPr>
          <w:sz w:val="21"/>
        </w:rPr>
        <w:t>的值，与临界值表对照，结合</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0.005</m:t>
          </m:r>
        </m:oMath>
      </m:oMathPara>
      <w:r>
        <w:rPr>
          <w:sz w:val="21"/>
        </w:rPr>
        <w:t>判断.</w:t>
      </w:r>
    </w:p>
    <w:p>
      <w:pPr>
        <w:shd w:val="clear" w:color="auto" w:fill="auto"/>
        <w:spacing w:line="360" w:lineRule="auto"/>
        <w:jc w:val="left"/>
        <w:rPr>
          <w:sz w:val="21"/>
        </w:rPr>
      </w:pPr>
      <w:r>
        <w:rPr>
          <w:sz w:val="21"/>
        </w:rPr>
        <w:t>【详解】假设为</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oMath>
      </m:oMathPara>
      <w:r>
        <w:rPr>
          <w:sz w:val="21"/>
        </w:rPr>
        <w:t>：喜欢体育还是喜欢文娱与性别没有关系．</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21</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23</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29</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79</m:t>
          </m:r>
        </m:oMath>
      </m:oMathPara>
      <w:r>
        <w:rPr>
          <w:sz w:val="21"/>
        </w:rPr>
        <w:t>，</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d>
                    <m:dPr>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e>
                <m:sup>
                  <m:r>
                    <w:rPr>
                      <w:rFonts w:ascii="Cambria Math" w:eastAsia="宋体" w:hAnsi="Cambria Math" w:cs="Cambria Math"/>
                    </w:rPr>
                    <m:t>2</m:t>
                  </m:r>
                </m:sup>
              </m:sSup>
            </m:num>
            <m:den>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den>
          </m:f>
          <m:r>
            <w:rPr>
              <w:rFonts w:ascii="Cambria Math" w:eastAsia="宋体" w:hAnsi="Cambria Math" w:cs="Cambria Math"/>
            </w:rPr>
            <m:t>=</m:t>
          </m:r>
          <m:f>
            <m:num>
              <m:r>
                <w:rPr>
                  <w:rFonts w:ascii="Cambria Math" w:eastAsia="宋体" w:hAnsi="Cambria Math" w:cs="Cambria Math"/>
                </w:rPr>
                <m:t>79</m:t>
              </m:r>
              <m:r>
                <w:rPr>
                  <w:rFonts w:ascii="Cambria Math" w:eastAsia="宋体" w:hAnsi="Cambria Math" w:cs="Cambria Math"/>
                </w:rPr>
                <m:t>×</m:t>
              </m:r>
              <m:sSup>
                <m:e>
                  <m:d>
                    <m:dPr>
                      <m:sepChr m:val=","/>
                    </m:dPr>
                    <m:e>
                      <m:r>
                        <w:rPr>
                          <w:rFonts w:ascii="Cambria Math" w:eastAsia="宋体" w:hAnsi="Cambria Math" w:cs="Cambria Math"/>
                        </w:rPr>
                        <m:t>21</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6</m:t>
                      </m:r>
                    </m:e>
                  </m:d>
                </m:e>
                <m:sup>
                  <m:r>
                    <w:rPr>
                      <w:rFonts w:ascii="Cambria Math" w:eastAsia="宋体" w:hAnsi="Cambria Math" w:cs="Cambria Math"/>
                    </w:rPr>
                    <m:t>2</m:t>
                  </m:r>
                </m:sup>
              </m:sSup>
            </m:num>
            <m:den>
              <m:r>
                <w:rPr>
                  <w:rFonts w:ascii="Cambria Math" w:eastAsia="宋体" w:hAnsi="Cambria Math" w:cs="Cambria Math"/>
                </w:rPr>
                <m:t>44</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52</m:t>
              </m:r>
            </m:den>
          </m:f>
          <m:r>
            <w:rPr>
              <w:rFonts w:ascii="Cambria Math" w:eastAsia="宋体" w:hAnsi="Cambria Math" w:cs="Cambria Math"/>
            </w:rPr>
            <m:t>≈</m:t>
          </m:r>
          <m:r>
            <w:rPr>
              <w:rFonts w:ascii="Cambria Math" w:eastAsia="宋体" w:hAnsi="Cambria Math" w:cs="Cambria Math"/>
            </w:rPr>
            <m:t>8.106</m:t>
          </m:r>
          <m:r>
            <w:rPr>
              <w:rFonts w:ascii="Cambria Math" w:eastAsia="宋体" w:hAnsi="Cambria Math" w:cs="Cambria Math"/>
            </w:rPr>
            <m:t>&gt;</m:t>
          </m:r>
          <m:r>
            <w:rPr>
              <w:rFonts w:ascii="Cambria Math" w:eastAsia="宋体" w:hAnsi="Cambria Math" w:cs="Cambria Math"/>
            </w:rPr>
            <m:t>7.879</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0.005</m:t>
              </m:r>
            </m:sub>
          </m:sSub>
        </m:oMath>
      </m:oMathPara>
      <w:r>
        <w:rPr>
          <w:sz w:val="21"/>
        </w:rPr>
        <w:t>．</w:t>
      </w:r>
    </w:p>
    <w:p>
      <w:pPr>
        <w:shd w:val="clear" w:color="auto" w:fill="auto"/>
        <w:spacing w:line="360" w:lineRule="auto"/>
        <w:jc w:val="left"/>
        <w:rPr>
          <w:sz w:val="21"/>
        </w:rPr>
      </w:pPr>
      <w:r>
        <w:rPr>
          <w:sz w:val="21"/>
        </w:rPr>
        <w:t>根据小概率值</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0.005</m:t>
          </m:r>
        </m:oMath>
      </m:oMathPara>
      <w:r>
        <w:rPr>
          <w:sz w:val="21"/>
        </w:rPr>
        <w:t>的独立性检验，我们推断</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oMath>
      </m:oMathPara>
      <w:r>
        <w:rPr>
          <w:sz w:val="21"/>
        </w:rPr>
        <w:t>不成立，即认为喜欢体育还是喜欢文娱与性别有关．</w:t>
      </w:r>
    </w:p>
    <w:p>
      <w:pPr>
        <w:shd w:val="clear" w:color="auto" w:fill="auto"/>
        <w:spacing w:line="360" w:lineRule="auto"/>
        <w:jc w:val="left"/>
        <w:rPr>
          <w:sz w:val="21"/>
        </w:rPr>
      </w:pPr>
      <w:r>
        <w:rPr>
          <w:sz w:val="21"/>
        </w:rPr>
        <w:t>31．某省进行高中新课程改革，为了解教师对新课程教学模式的使用情况，某校对一线教师关于新课程教学模式的使用情况进行了问卷调查，共调查了50人，其中有老教师20人，青年教师30人．老教师中对新课程教学模式赞同的有10人，不赞同的有10人；青年教师中对新课程教学模式赞同的有24人，不赞同的有6人．</w:t>
      </w:r>
    </w:p>
    <w:p>
      <w:pPr>
        <w:shd w:val="clear" w:color="auto" w:fill="auto"/>
        <w:spacing w:line="360" w:lineRule="auto"/>
        <w:jc w:val="left"/>
        <w:rPr>
          <w:sz w:val="21"/>
        </w:rPr>
      </w:pPr>
      <w:r>
        <w:rPr>
          <w:sz w:val="21"/>
        </w:rPr>
        <w:t>(1)根据以上数据建立一个2×2列联表；</w:t>
      </w:r>
    </w:p>
    <w:p>
      <w:pPr>
        <w:shd w:val="clear" w:color="auto" w:fill="auto"/>
        <w:spacing w:line="360" w:lineRule="auto"/>
        <w:jc w:val="left"/>
        <w:rPr>
          <w:sz w:val="21"/>
        </w:rPr>
      </w:pPr>
      <w:r>
        <w:rPr>
          <w:sz w:val="21"/>
        </w:rPr>
        <w:t>(2)试根据小概率值</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0.01</m:t>
          </m:r>
        </m:oMath>
      </m:oMathPara>
      <w:r>
        <w:rPr>
          <w:sz w:val="21"/>
        </w:rPr>
        <w:t>的独立性检验，分析对新课程教学模式的赞同情况与教师年龄是否有关系．</w:t>
      </w:r>
    </w:p>
    <w:p>
      <w:pPr>
        <w:shd w:val="clear" w:color="auto" w:fill="auto"/>
        <w:spacing w:line="360" w:lineRule="auto"/>
        <w:jc w:val="left"/>
        <w:rPr>
          <w:sz w:val="21"/>
        </w:rPr>
      </w:pPr>
      <w:r>
        <w:rPr>
          <w:sz w:val="21"/>
        </w:rPr>
        <w:t>【答案】(1)列联表见解析；</w:t>
      </w:r>
    </w:p>
    <w:p>
      <w:pPr>
        <w:shd w:val="clear" w:color="auto" w:fill="auto"/>
        <w:spacing w:line="360" w:lineRule="auto"/>
        <w:jc w:val="left"/>
        <w:rPr>
          <w:sz w:val="21"/>
        </w:rPr>
      </w:pPr>
      <w:r>
        <w:rPr>
          <w:sz w:val="21"/>
        </w:rPr>
        <w:t>(2)新课程教学模式的赞同情况与教师年龄无关．</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【知识点】完善列联表、卡方的计算、独立性检验解决实际问题</w:t>
      </w:r>
    </w:p>
    <w:p>
      <w:pPr>
        <w:shd w:val="clear" w:color="auto" w:fill="auto"/>
        <w:spacing w:line="360" w:lineRule="auto"/>
        <w:jc w:val="left"/>
        <w:rPr>
          <w:sz w:val="21"/>
        </w:rPr>
      </w:pPr>
      <w:r>
        <w:rPr>
          <w:sz w:val="21"/>
        </w:rPr>
        <w:t>【分析】（1）根据共调查了50人，其中有老教师20人，青年教师30人．老教师中对新课程教学模式赞同的有10人，不赞同的有10人；青年教师中对新课程教学模式赞同的有24人，不赞同的有6人完成列联表；</w:t>
      </w:r>
    </w:p>
    <w:p>
      <w:pPr>
        <w:shd w:val="clear" w:color="auto" w:fill="auto"/>
        <w:spacing w:line="360" w:lineRule="auto"/>
        <w:jc w:val="left"/>
        <w:rPr>
          <w:sz w:val="21"/>
        </w:rPr>
      </w:pPr>
      <w:r>
        <w:rPr>
          <w:sz w:val="21"/>
        </w:rPr>
        <w:t>（2）根据列联表求得</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oMath>
      </m:oMathPara>
      <w:r>
        <w:rPr>
          <w:sz w:val="21"/>
        </w:rPr>
        <w:t>，再与临界值表对照，结合</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0.01</m:t>
          </m:r>
        </m:oMath>
      </m:oMathPara>
      <w:r>
        <w:rPr>
          <w:sz w:val="21"/>
        </w:rPr>
        <w:t>判断.</w:t>
      </w:r>
    </w:p>
    <w:p>
      <w:pPr>
        <w:shd w:val="clear" w:color="auto" w:fill="auto"/>
        <w:spacing w:line="360" w:lineRule="auto"/>
        <w:jc w:val="left"/>
        <w:rPr>
          <w:sz w:val="21"/>
        </w:rPr>
      </w:pPr>
      <w:r>
        <w:rPr>
          <w:sz w:val="21"/>
        </w:rPr>
        <w:t>【详解】（1）解：</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列联表如下：</w:t>
      </w:r>
    </w:p>
    <w:tbl>
      <w:tblPr>
        <w:tblStyle w:val="TableNormal"/>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83"/>
        <w:gridCol w:w="1294"/>
        <w:gridCol w:w="1294"/>
        <w:gridCol w:w="1098"/>
      </w:tblGrid>
      <w:tr>
        <w:tblPrEx>
          <w:tblW w:w="5190" w:type="dxa"/>
        </w:tblPrEx>
        <w:trPr>
          <w:cantSplit w:val="0"/>
        </w:trPr>
        <w:tc>
          <w:tcPr>
            <w:tcW w:w="150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教师年龄</w:t>
            </w:r>
          </w:p>
        </w:tc>
        <w:tc>
          <w:tcPr>
            <w:tcW w:w="255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对新课程教学模式</w:t>
            </w:r>
          </w:p>
        </w:tc>
        <w:tc>
          <w:tcPr>
            <w:tcW w:w="114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519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赞同</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不赞同</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5190"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老教师</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r>
      <w:tr>
        <w:tblPrEx>
          <w:tblW w:w="5190"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青年教师</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24</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w:t>
            </w:r>
          </w:p>
        </w:tc>
      </w:tr>
      <w:tr>
        <w:tblPrEx>
          <w:tblW w:w="5190"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34</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（2）零假设为</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oMath>
      </m:oMathPara>
      <w:r>
        <w:rPr>
          <w:sz w:val="21"/>
        </w:rPr>
        <w:t>：对新课程教学模式的赞同情况与教师年龄无关．</w:t>
      </w:r>
    </w:p>
    <w:p>
      <w:pPr>
        <w:shd w:val="clear" w:color="auto" w:fill="auto"/>
        <w:spacing w:line="360" w:lineRule="auto"/>
        <w:jc w:val="left"/>
        <w:rPr>
          <w:sz w:val="21"/>
        </w:rPr>
      </w:pPr>
      <w:r>
        <w:rPr>
          <w:sz w:val="21"/>
        </w:rPr>
        <w:t>由公式得</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50</m:t>
              </m:r>
              <m:r>
                <w:rPr>
                  <w:rFonts w:ascii="Cambria Math" w:eastAsia="宋体" w:hAnsi="Cambria Math" w:cs="Cambria Math"/>
                </w:rPr>
                <m:t>×</m:t>
              </m:r>
              <m:sSup>
                <m:e>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10</m:t>
                      </m:r>
                    </m:e>
                  </m:d>
                </m:e>
                <m:sup>
                  <m:r>
                    <w:rPr>
                      <w:rFonts w:ascii="Cambria Math" w:eastAsia="宋体" w:hAnsi="Cambria Math" w:cs="Cambria Math"/>
                    </w:rPr>
                    <m:t>2</m:t>
                  </m:r>
                </m:sup>
              </m:sSup>
            </m:num>
            <m:den>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30</m:t>
              </m:r>
            </m:den>
          </m:f>
          <m:r>
            <w:rPr>
              <w:rFonts w:ascii="Cambria Math" w:eastAsia="宋体" w:hAnsi="Cambria Math" w:cs="Cambria Math"/>
            </w:rPr>
            <m:t>≈</m:t>
          </m:r>
          <m:r>
            <w:rPr>
              <w:rFonts w:ascii="Cambria Math" w:eastAsia="宋体" w:hAnsi="Cambria Math" w:cs="Cambria Math"/>
            </w:rPr>
            <m:t>4.963</m:t>
          </m:r>
          <m:r>
            <w:rPr>
              <w:rFonts w:ascii="Cambria Math" w:eastAsia="宋体" w:hAnsi="Cambria Math" w:cs="Cambria Math"/>
            </w:rPr>
            <m:t>&lt;</m:t>
          </m:r>
          <m:r>
            <w:rPr>
              <w:rFonts w:ascii="Cambria Math" w:eastAsia="宋体" w:hAnsi="Cambria Math" w:cs="Cambria Math"/>
            </w:rPr>
            <m:t>6.635</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0.01</m:t>
              </m:r>
            </m:sub>
          </m:sSub>
        </m:oMath>
      </m:oMathPara>
      <w:r>
        <w:rPr>
          <w:sz w:val="21"/>
        </w:rPr>
        <w:t>，</w:t>
      </w:r>
    </w:p>
    <w:p>
      <w:pPr>
        <w:shd w:val="clear" w:color="auto" w:fill="auto"/>
        <w:spacing w:line="360" w:lineRule="auto"/>
        <w:jc w:val="left"/>
        <w:rPr>
          <w:sz w:val="21"/>
        </w:rPr>
      </w:pPr>
      <w:r>
        <w:rPr>
          <w:sz w:val="21"/>
        </w:rPr>
        <w:t>根据小概率值</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0.01</m:t>
          </m:r>
        </m:oMath>
      </m:oMathPara>
      <w:r>
        <w:rPr>
          <w:sz w:val="21"/>
        </w:rPr>
        <w:t>的独立性检验，没有充分证据推断</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oMath>
      </m:oMathPara>
      <w:r>
        <w:rPr>
          <w:sz w:val="21"/>
        </w:rPr>
        <w:t>不成立，</w:t>
      </w:r>
    </w:p>
    <w:p>
      <w:pPr>
        <w:shd w:val="clear" w:color="auto" w:fill="auto"/>
        <w:spacing w:line="360" w:lineRule="auto"/>
        <w:jc w:val="left"/>
        <w:rPr>
          <w:sz w:val="21"/>
        </w:rPr>
      </w:pPr>
      <w:r>
        <w:rPr>
          <w:sz w:val="21"/>
        </w:rPr>
        <w:t>即认为对新课程教学模式的赞同情况与教师年龄无关．</w:t>
      </w:r>
    </w:p>
    <w:p>
      <w:pPr>
        <w:shd w:val="clear" w:color="auto" w:fill="auto"/>
        <w:spacing w:line="360" w:lineRule="auto"/>
        <w:jc w:val="left"/>
        <w:rPr>
          <w:sz w:val="21"/>
        </w:rPr>
      </w:pPr>
      <w:r>
        <w:rPr>
          <w:sz w:val="21"/>
        </w:rPr>
        <w:t>32．疫苗是指用各种病原微生物制作的用于预防接种的生物制品，接种疫苗是预防和控制传染病最经济、有效的公共卫生干预措施.某制药厂对预防某种疾病的两种疫苗开展临床对比试验.若使用后的抗体呈阳性，则认为疫苗有效.在</w:t>
      </w:r>
      <m:oMathPara>
        <m:oMathParaPr>
          <m:jc m:val="left"/>
        </m:oMathParaPr>
        <m:oMath>
          <m:r>
            <w:rPr>
              <w:rFonts w:ascii="Cambria Math" w:eastAsia="宋体" w:hAnsi="Cambria Math" w:cs="Cambria Math"/>
            </w:rPr>
            <m:t>100</m:t>
          </m:r>
        </m:oMath>
      </m:oMathPara>
      <w:r>
        <w:rPr>
          <w:sz w:val="21"/>
        </w:rPr>
        <w:t>名受访者中，</w:t>
      </w:r>
      <m:oMathPara>
        <m:oMathParaPr>
          <m:jc m:val="left"/>
        </m:oMathParaPr>
        <m:oMath>
          <m:r>
            <w:rPr>
              <w:rFonts w:ascii="Cambria Math" w:eastAsia="宋体" w:hAnsi="Cambria Math" w:cs="Cambria Math"/>
            </w:rPr>
            <m:t>60</m:t>
          </m:r>
        </m:oMath>
      </m:oMathPara>
      <w:r>
        <w:rPr>
          <w:sz w:val="21"/>
        </w:rPr>
        <w:t>名接种灭活疫苗，剩余</w:t>
      </w:r>
      <m:oMathPara>
        <m:oMathParaPr>
          <m:jc m:val="left"/>
        </m:oMathParaPr>
        <m:oMath>
          <m:r>
            <w:rPr>
              <w:rFonts w:ascii="Cambria Math" w:eastAsia="宋体" w:hAnsi="Cambria Math" w:cs="Cambria Math"/>
            </w:rPr>
            <m:t>40</m:t>
          </m:r>
        </m:oMath>
      </m:oMathPara>
      <w:r>
        <w:rPr>
          <w:sz w:val="21"/>
        </w:rPr>
        <w:t>名接种核酸疫苗，根据临床试验数据绘制等高条形图如图所示.已知事件“</w:t>
      </w:r>
      <m:oMathPara>
        <m:oMathParaPr>
          <m:jc m:val="left"/>
        </m:oMathParaPr>
        <m:oMath>
          <m:r>
            <w:rPr>
              <w:rFonts w:ascii="Cambria Math" w:eastAsia="宋体" w:hAnsi="Cambria Math" w:cs="Cambria Math"/>
            </w:rPr>
            <m:t>1</m:t>
          </m:r>
        </m:oMath>
      </m:oMathPara>
      <w:r>
        <w:rPr>
          <w:sz w:val="21"/>
        </w:rPr>
        <w:t>名受访者接种灭活疫苗且接种后抗体呈阳性”发生的概率为</w:t>
      </w:r>
      <m:oMathPara>
        <m:oMathParaPr>
          <m:jc m:val="left"/>
        </m:oMathParaPr>
        <m:oMath>
          <m:r>
            <w:rPr>
              <w:rFonts w:ascii="Cambria Math" w:eastAsia="宋体" w:hAnsi="Cambria Math" w:cs="Cambria Math"/>
            </w:rPr>
            <m:t>0.54</m:t>
          </m:r>
        </m:oMath>
      </m:oMathPara>
      <w:r>
        <w:rPr>
          <w:sz w:val="21"/>
        </w:rPr>
        <w:t>.</w:t>
      </w:r>
    </w:p>
    <w:p>
      <w:pPr>
        <w:shd w:val="clear" w:color="auto" w:fill="auto"/>
        <w:spacing w:line="360" w:lineRule="auto"/>
        <w:jc w:val="left"/>
        <w:rPr>
          <w:sz w:val="21"/>
        </w:rPr>
      </w:pPr>
      <w:r>
        <w:rPr>
          <w:sz w:val="21"/>
        </w:rPr>
        <w:t>(1)求等高条形图中</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(2)根据所给数据，完成下面的列联表：</w:t>
      </w:r>
    </w:p>
    <w:tbl>
      <w:tblPr>
        <w:tblStyle w:val="TableNormal"/>
        <w:tblW w:w="4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24"/>
        <w:gridCol w:w="1214"/>
        <w:gridCol w:w="1256"/>
        <w:gridCol w:w="1007"/>
      </w:tblGrid>
      <w:tr>
        <w:tblPrEx>
          <w:tblW w:w="492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抗体情况</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灭活疫苗</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核酸疫苗</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w:t>
            </w:r>
          </w:p>
        </w:tc>
      </w:tr>
      <w:tr>
        <w:tblPrEx>
          <w:tblW w:w="492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抗体为阳性</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492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抗体为阴性</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492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r>
    </w:tbl>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38425" cy="1628775"/>
            <wp:docPr id="100019" name="" descr="@@@d1d8f789-afa6-4d11-bc19-eb071795e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638425" cy="1628775"/>
                    </a:xfrm>
                    <a:prstGeom prst="rect">
                      <a:avLst/>
                    </a:prstGeom>
                  </pic:spPr>
                </pic:pic>
              </a:graphicData>
            </a:graphic>
          </wp:inline>
        </w:drawing>
      </w:r>
    </w:p>
    <w:p>
      <w:pPr>
        <w:shd w:val="clear" w:color="auto" w:fill="auto"/>
        <w:spacing w:line="360" w:lineRule="auto"/>
        <w:jc w:val="left"/>
        <w:rPr>
          <w:sz w:val="21"/>
        </w:rPr>
      </w:pPr>
      <w:r>
        <w:rPr>
          <w:sz w:val="21"/>
        </w:rPr>
        <w:t>(3)判断能否有</w:t>
      </w:r>
      <m:oMathPara>
        <m:oMathParaPr>
          <m:jc m:val="left"/>
        </m:oMathParaPr>
        <m:oMath>
          <m:r>
            <w:rPr>
              <w:rFonts w:ascii="Cambria Math" w:eastAsia="宋体" w:hAnsi="Cambria Math" w:cs="Cambria Math"/>
            </w:rPr>
            <m:t>90</m:t>
          </m:r>
        </m:oMath>
      </m:oMathPara>
      <w:r>
        <w:rPr>
          <w:sz w:val="21"/>
        </w:rPr>
        <w:t>％的把握认为两种疫苗的预防效果存在差异？</w:t>
      </w:r>
    </w:p>
    <w:p>
      <w:pPr>
        <w:shd w:val="clear" w:color="auto" w:fill="auto"/>
        <w:spacing w:line="360" w:lineRule="auto"/>
        <w:jc w:val="left"/>
        <w:rPr>
          <w:sz w:val="21"/>
        </w:rPr>
      </w:pPr>
      <w:r>
        <w:rPr>
          <w:sz w:val="21"/>
        </w:rPr>
        <w:t>参考公式：</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den>
          </m:f>
        </m:oMath>
      </m:oMathPara>
      <w:r>
        <w:rPr>
          <w:sz w:val="21"/>
        </w:rPr>
        <w:t>，其中</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6"/>
        <w:gridCol w:w="2076"/>
        <w:gridCol w:w="2076"/>
        <w:gridCol w:w="2076"/>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0</m:t>
                    </m:r>
                  </m:sub>
                </m:sSub>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0.15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0.10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0.05</m:t>
                </m:r>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0</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2.072</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2.706</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3.841</m:t>
                </m:r>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0.9</m:t>
          </m:r>
        </m:oMath>
      </m:oMathPara>
    </w:p>
    <w:p>
      <w:pPr>
        <w:shd w:val="clear" w:color="auto" w:fill="auto"/>
        <w:spacing w:line="360" w:lineRule="auto"/>
        <w:jc w:val="left"/>
        <w:rPr>
          <w:sz w:val="21"/>
        </w:rPr>
      </w:pPr>
      <w:r>
        <w:rPr>
          <w:sz w:val="21"/>
        </w:rPr>
        <w:t>(2)列联表见解析</w:t>
      </w:r>
    </w:p>
    <w:p>
      <w:pPr>
        <w:shd w:val="clear" w:color="auto" w:fill="auto"/>
        <w:spacing w:line="360" w:lineRule="auto"/>
        <w:jc w:val="left"/>
        <w:rPr>
          <w:sz w:val="21"/>
        </w:rPr>
      </w:pPr>
      <w:r>
        <w:rPr>
          <w:sz w:val="21"/>
        </w:rPr>
        <w:t>(3)没有</w:t>
      </w:r>
      <m:oMathPara>
        <m:oMathParaPr>
          <m:jc m:val="left"/>
        </m:oMathParaPr>
        <m:oMath>
          <m:r>
            <w:rPr>
              <w:rFonts w:ascii="Cambria Math" w:eastAsia="宋体" w:hAnsi="Cambria Math" w:cs="Cambria Math"/>
            </w:rPr>
            <m:t>90</m:t>
          </m:r>
        </m:oMath>
      </m:oMathPara>
      <w:r>
        <w:rPr>
          <w:sz w:val="21"/>
        </w:rPr>
        <w:t>％的把握认为两种疫苗的预防效果存在差异</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【知识点】等高条形图、完善列联表、独立性检验解决实际问题</w:t>
      </w:r>
    </w:p>
    <w:p>
      <w:pPr>
        <w:shd w:val="clear" w:color="auto" w:fill="auto"/>
        <w:spacing w:line="360" w:lineRule="auto"/>
        <w:jc w:val="left"/>
        <w:rPr>
          <w:sz w:val="21"/>
        </w:rPr>
      </w:pPr>
      <w:r>
        <w:rPr>
          <w:sz w:val="21"/>
        </w:rPr>
        <w:t>【分析】（1）根据“</w:t>
      </w:r>
      <m:oMathPara>
        <m:oMathParaPr>
          <m:jc m:val="left"/>
        </m:oMathParaPr>
        <m:oMath>
          <m:r>
            <w:rPr>
              <w:rFonts w:ascii="Cambria Math" w:eastAsia="宋体" w:hAnsi="Cambria Math" w:cs="Cambria Math"/>
            </w:rPr>
            <m:t>1</m:t>
          </m:r>
        </m:oMath>
      </m:oMathPara>
      <w:r>
        <w:rPr>
          <w:sz w:val="21"/>
        </w:rPr>
        <w:t>名受访者接种灭活疫苗且接种后抗体呈阳性”发生的概率求得</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（2）根据已知条件填写</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w:t>
      </w:r>
    </w:p>
    <w:p>
      <w:pPr>
        <w:shd w:val="clear" w:color="auto" w:fill="auto"/>
        <w:spacing w:line="360" w:lineRule="auto"/>
        <w:jc w:val="left"/>
        <w:rPr>
          <w:sz w:val="21"/>
        </w:rPr>
      </w:pPr>
      <w:r>
        <w:rPr>
          <w:sz w:val="21"/>
        </w:rPr>
        <w:t>（3）计算出</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的值，由此作出判断.</w:t>
      </w:r>
    </w:p>
    <w:p>
      <w:pPr>
        <w:shd w:val="clear" w:color="auto" w:fill="auto"/>
        <w:spacing w:line="360" w:lineRule="auto"/>
        <w:jc w:val="left"/>
        <w:rPr>
          <w:sz w:val="21"/>
        </w:rPr>
      </w:pPr>
      <w:r>
        <w:rPr>
          <w:sz w:val="21"/>
        </w:rPr>
        <w:t>【详解】（1）依题意“</w:t>
      </w:r>
      <m:oMathPara>
        <m:oMathParaPr>
          <m:jc m:val="left"/>
        </m:oMathParaPr>
        <m:oMath>
          <m:r>
            <w:rPr>
              <w:rFonts w:ascii="Cambria Math" w:eastAsia="宋体" w:hAnsi="Cambria Math" w:cs="Cambria Math"/>
            </w:rPr>
            <m:t>1</m:t>
          </m:r>
        </m:oMath>
      </m:oMathPara>
      <w:r>
        <w:rPr>
          <w:sz w:val="21"/>
        </w:rPr>
        <w:t>名受访者接种灭活疫苗且接种后抗体呈阳性”发生的概率为</w:t>
      </w:r>
      <m:oMathPara>
        <m:oMathParaPr>
          <m:jc m:val="left"/>
        </m:oMathParaPr>
        <m:oMath>
          <m:r>
            <w:rPr>
              <w:rFonts w:ascii="Cambria Math" w:eastAsia="宋体" w:hAnsi="Cambria Math" w:cs="Cambria Math"/>
            </w:rPr>
            <m:t>0.54</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60</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0.54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0.9</m:t>
          </m:r>
        </m:oMath>
      </m:oMathPara>
      <w:r>
        <w:rPr>
          <w:sz w:val="21"/>
        </w:rPr>
        <w:t>.</w:t>
      </w:r>
    </w:p>
    <w:p>
      <w:pPr>
        <w:shd w:val="clear" w:color="auto" w:fill="auto"/>
        <w:spacing w:line="360" w:lineRule="auto"/>
        <w:jc w:val="left"/>
        <w:rPr>
          <w:sz w:val="21"/>
        </w:rPr>
      </w:pPr>
      <w:r>
        <w:rPr>
          <w:sz w:val="21"/>
        </w:rPr>
        <w:t>（2）列联表如下：</w:t>
      </w:r>
    </w:p>
    <w:tbl>
      <w:tblPr>
        <w:tblStyle w:val="TableNormal"/>
        <w:tblW w:w="4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24"/>
        <w:gridCol w:w="1214"/>
        <w:gridCol w:w="1256"/>
        <w:gridCol w:w="1007"/>
      </w:tblGrid>
      <w:tr>
        <w:tblPrEx>
          <w:tblW w:w="492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抗体情况</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灭活疫苗</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核酸疫苗</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w:t>
            </w:r>
          </w:p>
        </w:tc>
      </w:tr>
      <w:tr>
        <w:tblPrEx>
          <w:tblW w:w="492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抗体为阳性</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54</m:t>
                </m:r>
              </m:oMath>
            </m:oMathPara>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34</m:t>
                </m:r>
              </m:oMath>
            </m:oMathPara>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88</m:t>
                </m:r>
              </m:oMath>
            </m:oMathPara>
          </w:p>
        </w:tc>
      </w:tr>
      <w:tr>
        <w:tblPrEx>
          <w:tblW w:w="492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抗体为阴性</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6</m:t>
                </m:r>
              </m:oMath>
            </m:oMathPara>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6</m:t>
                </m:r>
              </m:oMath>
            </m:oMathPara>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12</m:t>
                </m:r>
              </m:oMath>
            </m:oMathPara>
          </w:p>
        </w:tc>
      </w:tr>
      <w:tr>
        <w:tblPrEx>
          <w:tblW w:w="492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（3）</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100</m:t>
              </m:r>
              <m:r>
                <w:rPr>
                  <w:rFonts w:ascii="Cambria Math" w:eastAsia="宋体" w:hAnsi="Cambria Math" w:cs="Cambria Math"/>
                </w:rPr>
                <m:t>×</m:t>
              </m:r>
              <m:sSup>
                <m:e>
                  <m:d>
                    <m:dPr>
                      <m:sepChr m:val=","/>
                    </m:dPr>
                    <m:e>
                      <m:r>
                        <w:rPr>
                          <w:rFonts w:ascii="Cambria Math" w:eastAsia="宋体" w:hAnsi="Cambria Math" w:cs="Cambria Math"/>
                        </w:rPr>
                        <m:t>54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6</m:t>
                      </m:r>
                    </m:e>
                  </m:d>
                </m:e>
                <m:sup>
                  <m:r>
                    <w:rPr>
                      <w:rFonts w:ascii="Cambria Math" w:eastAsia="宋体" w:hAnsi="Cambria Math" w:cs="Cambria Math"/>
                    </w:rPr>
                    <m:t>2</m:t>
                  </m:r>
                </m:sup>
              </m:sSup>
            </m:num>
            <m:den>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88</m:t>
              </m:r>
            </m:den>
          </m:f>
          <m:r>
            <w:rPr>
              <w:rFonts w:ascii="Cambria Math" w:eastAsia="宋体" w:hAnsi="Cambria Math" w:cs="Cambria Math"/>
            </w:rPr>
            <m:t>≈</m:t>
          </m:r>
          <m:r>
            <w:rPr>
              <w:rFonts w:ascii="Cambria Math" w:eastAsia="宋体" w:hAnsi="Cambria Math" w:cs="Cambria Math"/>
            </w:rPr>
            <m:t>0.568</m:t>
          </m:r>
          <m:r>
            <w:rPr>
              <w:rFonts w:ascii="Cambria Math" w:eastAsia="宋体" w:hAnsi="Cambria Math" w:cs="Cambria Math"/>
            </w:rPr>
            <m:t>&lt;</m:t>
          </m:r>
          <m:r>
            <w:rPr>
              <w:rFonts w:ascii="Cambria Math" w:eastAsia="宋体" w:hAnsi="Cambria Math" w:cs="Cambria Math"/>
            </w:rPr>
            <m:t>2.706</m:t>
          </m:r>
        </m:oMath>
      </m:oMathPara>
      <w:r>
        <w:rPr>
          <w:sz w:val="21"/>
        </w:rPr>
        <w:t>，</w:t>
      </w:r>
    </w:p>
    <w:p>
      <w:pPr>
        <w:shd w:val="clear" w:color="auto" w:fill="auto"/>
        <w:spacing w:line="360" w:lineRule="auto"/>
        <w:jc w:val="left"/>
        <w:rPr>
          <w:sz w:val="21"/>
        </w:rPr>
      </w:pPr>
      <w:r>
        <w:rPr>
          <w:sz w:val="21"/>
        </w:rPr>
        <w:t>所以没有</w:t>
      </w:r>
      <m:oMathPara>
        <m:oMathParaPr>
          <m:jc m:val="left"/>
        </m:oMathParaPr>
        <m:oMath>
          <m:r>
            <w:rPr>
              <w:rFonts w:ascii="Cambria Math" w:eastAsia="宋体" w:hAnsi="Cambria Math" w:cs="Cambria Math"/>
            </w:rPr>
            <m:t>90</m:t>
          </m:r>
        </m:oMath>
      </m:oMathPara>
      <w:r>
        <w:rPr>
          <w:sz w:val="21"/>
        </w:rPr>
        <w:t>％的把握认为两种疫苗的预防效果存在差异.</w:t>
      </w:r>
    </w:p>
    <w:p>
      <w:pPr>
        <w:shd w:val="clear" w:color="auto" w:fill="auto"/>
        <w:spacing w:line="360" w:lineRule="auto"/>
        <w:jc w:val="left"/>
        <w:rPr>
          <w:sz w:val="21"/>
        </w:rPr>
      </w:pPr>
      <w:r>
        <w:rPr>
          <w:sz w:val="21"/>
        </w:rPr>
        <w:t>33．为了研究某种疾病的治愈率，某医院对100名患者中的一部分患者采用了外科疗法，另一部分患者采用了化学疗法，并根据两种治疗方法的治愈情况绘制了等高堆积条形图，如下：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0350" cy="2028825"/>
            <wp:docPr id="100021" name="" descr="@@@78f019544bb14024a8187d23ae40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800350" cy="2028825"/>
                    </a:xfrm>
                    <a:prstGeom prst="rect">
                      <a:avLst/>
                    </a:prstGeom>
                  </pic:spPr>
                </pic:pic>
              </a:graphicData>
            </a:graphic>
          </wp:inline>
        </w:drawing>
      </w:r>
    </w:p>
    <w:p>
      <w:pPr>
        <w:shd w:val="clear" w:color="auto" w:fill="auto"/>
        <w:spacing w:line="360" w:lineRule="auto"/>
        <w:jc w:val="left"/>
        <w:rPr>
          <w:sz w:val="21"/>
        </w:rPr>
      </w:pPr>
      <w:r>
        <w:rPr>
          <w:sz w:val="21"/>
        </w:rPr>
        <w:t>（1）根据图表完善以下关于治疗方法和治愈情况的</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w:t>
      </w:r>
    </w:p>
    <w:tbl>
      <w:tblPr>
        <w:tblStyle w:val="TableNormal"/>
        <w:tblW w:w="6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02"/>
        <w:gridCol w:w="1744"/>
        <w:gridCol w:w="1699"/>
        <w:gridCol w:w="1710"/>
      </w:tblGrid>
      <w:tr>
        <w:tblPrEx>
          <w:tblW w:w="6975" w:type="dxa"/>
        </w:tblPrEx>
        <w:trPr>
          <w:cantSplit w:val="0"/>
        </w:trPr>
        <w:tc>
          <w:tcPr>
            <w:tcW w:w="175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疗法</w:t>
            </w:r>
          </w:p>
        </w:tc>
        <w:tc>
          <w:tcPr>
            <w:tcW w:w="346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疗效</w:t>
            </w:r>
          </w:p>
        </w:tc>
        <w:tc>
          <w:tcPr>
            <w:tcW w:w="175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697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未治愈</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治愈</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6975" w:type="dxa"/>
        </w:tblPrEx>
        <w:trPr>
          <w:cantSplit w:val="0"/>
        </w:trPr>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外科疗法</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6975" w:type="dxa"/>
        </w:tblPrEx>
        <w:trPr>
          <w:cantSplit w:val="0"/>
        </w:trPr>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化学疗法</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6975" w:type="dxa"/>
        </w:tblPrEx>
        <w:trPr>
          <w:cantSplit w:val="0"/>
        </w:trPr>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r>
    </w:tbl>
    <w:p>
      <w:pPr>
        <w:shd w:val="clear" w:color="auto" w:fill="auto"/>
        <w:spacing w:line="360" w:lineRule="auto"/>
        <w:jc w:val="left"/>
        <w:rPr>
          <w:sz w:val="21"/>
        </w:rPr>
      </w:pPr>
      <w:r>
        <w:rPr>
          <w:sz w:val="21"/>
        </w:rPr>
        <w:t>（2）依据小概率值</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0.05</m:t>
          </m:r>
        </m:oMath>
      </m:oMathPara>
      <w:r>
        <w:rPr>
          <w:sz w:val="21"/>
        </w:rPr>
        <w:t>的独立性检验，分析此种疾病治愈率是否与治疗方法有关．</w:t>
      </w:r>
    </w:p>
    <w:p>
      <w:pPr>
        <w:shd w:val="clear" w:color="auto" w:fill="auto"/>
        <w:spacing w:line="360" w:lineRule="auto"/>
        <w:jc w:val="left"/>
        <w:rPr>
          <w:sz w:val="21"/>
        </w:rPr>
      </w:pPr>
      <w:r>
        <w:rPr>
          <w:sz w:val="21"/>
        </w:rPr>
        <w:t>附：</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d>
                    <m:dPr>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e>
                <m:sup>
                  <m:r>
                    <w:rPr>
                      <w:rFonts w:ascii="Cambria Math" w:eastAsia="宋体" w:hAnsi="Cambria Math" w:cs="Cambria Math"/>
                    </w:rPr>
                    <m:t>2</m:t>
                  </m:r>
                </m:sup>
              </m:sSup>
            </m:num>
            <m:den>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den>
          </m:f>
        </m:oMath>
      </m:oMathPara>
      <w:r>
        <w:rPr>
          <w:sz w:val="21"/>
        </w:rPr>
        <w:t>（如需计算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sz w:val="21"/>
        </w:rPr>
        <w:t>，结果精确到0.001）</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sz w:val="21"/>
        </w:rPr>
        <w:t>独立性检验中常用小概率值和相应的临界值</w:t>
      </w:r>
    </w:p>
    <w:tbl>
      <w:tblPr>
        <w:tblStyle w:val="TableNormal"/>
        <w:tblW w:w="8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87"/>
        <w:gridCol w:w="1367"/>
        <w:gridCol w:w="1356"/>
        <w:gridCol w:w="1367"/>
        <w:gridCol w:w="1356"/>
        <w:gridCol w:w="1450"/>
      </w:tblGrid>
      <w:tr>
        <w:tblPrEx>
          <w:tblW w:w="8205" w:type="dxa"/>
        </w:tblPrEx>
        <w:trPr>
          <w:cantSplit w:val="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α</m:t>
                </m:r>
              </m:oMath>
            </m:oMathPara>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0.01</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0.005</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0.001</w:t>
            </w:r>
          </w:p>
        </w:tc>
      </w:tr>
      <w:tr>
        <w:tblPrEx>
          <w:tblW w:w="8205" w:type="dxa"/>
        </w:tblPrEx>
        <w:trPr>
          <w:cantSplit w:val="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α</m:t>
                    </m:r>
                  </m:sub>
                </m:sSub>
              </m:oMath>
            </m:oMathPara>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2.706</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3.841</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6.635</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7.879</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10.828</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【答案】（1）答案见解析；（2）此种疾病治愈与治疗方法有关</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【知识点】等高条形图、完善列联表、独立性检验解决实际问题</w:t>
      </w:r>
    </w:p>
    <w:p>
      <w:pPr>
        <w:shd w:val="clear" w:color="auto" w:fill="auto"/>
        <w:spacing w:line="360" w:lineRule="auto"/>
        <w:jc w:val="left"/>
        <w:rPr>
          <w:sz w:val="21"/>
        </w:rPr>
      </w:pPr>
      <w:r>
        <w:rPr>
          <w:sz w:val="21"/>
        </w:rPr>
        <w:t>【分析】（1）由题知采用化学疗法的治愈率为</w:t>
      </w:r>
      <m:oMathPara>
        <m:oMathParaPr>
          <m:jc m:val="left"/>
        </m:oMathParaPr>
        <m:oMath>
          <m:r>
            <w:rPr>
              <w:rFonts w:ascii="Cambria Math" w:eastAsia="宋体" w:hAnsi="Cambria Math" w:cs="Cambria Math"/>
            </w:rPr>
            <m:t>30</m:t>
          </m:r>
          <m:r>
            <m:rPr>
              <m:nor/>
            </m:rPr>
            <w:rPr>
              <w:rFonts w:ascii="Cambria Math" w:eastAsia="宋体" w:hAnsi="Cambria Math" w:cs="Cambria Math"/>
            </w:rPr>
            <m:t>%</m:t>
          </m:r>
        </m:oMath>
      </m:oMathPara>
      <w:r>
        <w:rPr>
          <w:sz w:val="21"/>
        </w:rPr>
        <w:t>，治愈的人数为</w:t>
      </w:r>
      <m:oMathPara>
        <m:oMathParaPr>
          <m:jc m:val="left"/>
        </m:oMathParaPr>
        <m:oMath>
          <m:r>
            <w:rPr>
              <w:rFonts w:ascii="Cambria Math" w:eastAsia="宋体" w:hAnsi="Cambria Math" w:cs="Cambria Math"/>
            </w:rPr>
            <m:t>18</m:t>
          </m:r>
        </m:oMath>
      </m:oMathPara>
      <w:r>
        <w:rPr>
          <w:sz w:val="21"/>
        </w:rPr>
        <w:t>人，进而计算得对应的数据，完成列联表；</w:t>
      </w:r>
    </w:p>
    <w:p>
      <w:pPr>
        <w:shd w:val="clear" w:color="auto" w:fill="auto"/>
        <w:spacing w:line="360" w:lineRule="auto"/>
        <w:jc w:val="left"/>
        <w:rPr>
          <w:sz w:val="21"/>
        </w:rPr>
      </w:pPr>
      <w:r>
        <w:rPr>
          <w:sz w:val="21"/>
        </w:rPr>
        <w:t>（2）根据独立性检验的思想，计算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sz w:val="21"/>
        </w:rPr>
        <w:t>，并根据已知数据判断即可.</w:t>
      </w:r>
    </w:p>
    <w:p>
      <w:pPr>
        <w:shd w:val="clear" w:color="auto" w:fill="auto"/>
        <w:spacing w:line="360" w:lineRule="auto"/>
        <w:jc w:val="left"/>
        <w:rPr>
          <w:sz w:val="21"/>
        </w:rPr>
      </w:pPr>
      <w:r>
        <w:rPr>
          <w:sz w:val="21"/>
        </w:rPr>
        <w:t>【详解】解：（1）根据等高条形图，采用化学疗法的治愈率为</w:t>
      </w:r>
      <m:oMathPara>
        <m:oMathParaPr>
          <m:jc m:val="left"/>
        </m:oMathParaPr>
        <m:oMath>
          <m:r>
            <w:rPr>
              <w:rFonts w:ascii="Cambria Math" w:eastAsia="宋体" w:hAnsi="Cambria Math" w:cs="Cambria Math"/>
            </w:rPr>
            <m:t>30</m:t>
          </m:r>
          <m:r>
            <m:rPr>
              <m:nor/>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由列联表得化学疗法治愈的人数为</w:t>
      </w:r>
      <m:oMathPara>
        <m:oMathParaPr>
          <m:jc m:val="left"/>
        </m:oMathParaPr>
        <m:oMath>
          <m:r>
            <w:rPr>
              <w:rFonts w:ascii="Cambria Math" w:eastAsia="宋体" w:hAnsi="Cambria Math" w:cs="Cambria Math"/>
            </w:rPr>
            <m:t>18</m:t>
          </m:r>
        </m:oMath>
      </m:oMathPara>
      <w:r>
        <w:rPr>
          <w:sz w:val="21"/>
        </w:rPr>
        <w:t>人，</w:t>
      </w:r>
    </w:p>
    <w:p>
      <w:pPr>
        <w:shd w:val="clear" w:color="auto" w:fill="auto"/>
        <w:spacing w:line="360" w:lineRule="auto"/>
        <w:jc w:val="left"/>
        <w:rPr>
          <w:sz w:val="21"/>
        </w:rPr>
      </w:pPr>
      <w:r>
        <w:rPr>
          <w:sz w:val="21"/>
        </w:rPr>
        <w:t>故采用化学疗法的人共有</w:t>
      </w:r>
      <m:oMathPara>
        <m:oMathParaPr>
          <m:jc m:val="left"/>
        </m:oMathParaPr>
        <m:oMath>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oMath>
      </m:oMathPara>
      <w:r>
        <w:rPr>
          <w:sz w:val="21"/>
        </w:rPr>
        <w:t>人，</w:t>
      </w:r>
    </w:p>
    <w:p>
      <w:pPr>
        <w:shd w:val="clear" w:color="auto" w:fill="auto"/>
        <w:spacing w:line="360" w:lineRule="auto"/>
        <w:jc w:val="left"/>
        <w:rPr>
          <w:sz w:val="21"/>
        </w:rPr>
      </w:pPr>
      <w:r>
        <w:rPr>
          <w:sz w:val="21"/>
        </w:rPr>
        <w:t>采用外科疗法的有</w:t>
      </w:r>
      <m:oMathPara>
        <m:oMathParaPr>
          <m:jc m:val="left"/>
        </m:oMathParaPr>
        <m:oMath>
          <m:r>
            <w:rPr>
              <w:rFonts w:ascii="Cambria Math" w:eastAsia="宋体" w:hAnsi="Cambria Math" w:cs="Cambria Math"/>
            </w:rPr>
            <m:t>40</m:t>
          </m:r>
        </m:oMath>
      </m:oMathPara>
      <w:r>
        <w:rPr>
          <w:sz w:val="21"/>
        </w:rPr>
        <w:t>人，其中治愈的有</w:t>
      </w:r>
      <m:oMathPara>
        <m:oMathParaPr>
          <m:jc m:val="left"/>
        </m:oMathParaPr>
        <m:oMath>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oMath>
      </m:oMathPara>
      <w:r>
        <w:rPr>
          <w:sz w:val="21"/>
        </w:rPr>
        <w:t>人.</w:t>
      </w:r>
    </w:p>
    <w:p>
      <w:pPr>
        <w:shd w:val="clear" w:color="auto" w:fill="auto"/>
        <w:spacing w:line="360" w:lineRule="auto"/>
        <w:jc w:val="left"/>
        <w:rPr>
          <w:sz w:val="21"/>
        </w:rPr>
      </w:pPr>
      <w:r>
        <w:rPr>
          <w:sz w:val="21"/>
        </w:rPr>
        <w:t>所以列联表如下表：</w:t>
      </w:r>
    </w:p>
    <w:tbl>
      <w:tblPr>
        <w:tblStyle w:val="TableNormal"/>
        <w:tblW w:w="6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02"/>
        <w:gridCol w:w="1744"/>
        <w:gridCol w:w="1699"/>
        <w:gridCol w:w="1710"/>
      </w:tblGrid>
      <w:tr>
        <w:tblPrEx>
          <w:tblW w:w="6975" w:type="dxa"/>
        </w:tblPrEx>
        <w:trPr>
          <w:cantSplit w:val="0"/>
        </w:trPr>
        <w:tc>
          <w:tcPr>
            <w:tcW w:w="175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疗法</w:t>
            </w:r>
          </w:p>
        </w:tc>
        <w:tc>
          <w:tcPr>
            <w:tcW w:w="346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疗效</w:t>
            </w:r>
          </w:p>
        </w:tc>
        <w:tc>
          <w:tcPr>
            <w:tcW w:w="175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697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未治愈</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治愈</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6975" w:type="dxa"/>
        </w:tblPrEx>
        <w:trPr>
          <w:cantSplit w:val="0"/>
        </w:trPr>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外科疗法</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w:t>
            </w:r>
          </w:p>
        </w:tc>
      </w:tr>
      <w:tr>
        <w:tblPrEx>
          <w:tblW w:w="6975" w:type="dxa"/>
        </w:tblPrEx>
        <w:trPr>
          <w:cantSplit w:val="0"/>
        </w:trPr>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化学疗法</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42</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w:t>
            </w:r>
          </w:p>
        </w:tc>
      </w:tr>
      <w:tr>
        <w:tblPrEx>
          <w:tblW w:w="6975" w:type="dxa"/>
        </w:tblPrEx>
        <w:trPr>
          <w:cantSplit w:val="0"/>
        </w:trPr>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62</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r>
    </w:tbl>
    <w:p>
      <w:pPr>
        <w:shd w:val="clear" w:color="auto" w:fill="auto"/>
        <w:spacing w:line="360" w:lineRule="auto"/>
        <w:jc w:val="left"/>
        <w:rPr>
          <w:sz w:val="21"/>
        </w:rPr>
      </w:pPr>
      <w:r>
        <w:rPr>
          <w:sz w:val="21"/>
        </w:rPr>
        <w:t>（2）假设此种疾病治愈率是否与治疗方法无关，</w:t>
      </w:r>
    </w:p>
    <w:p>
      <w:pPr>
        <w:shd w:val="clear" w:color="auto" w:fill="auto"/>
        <w:spacing w:line="360" w:lineRule="auto"/>
        <w:jc w:val="left"/>
        <w:rPr>
          <w:sz w:val="21"/>
        </w:rPr>
      </w:pPr>
      <w:r>
        <w:rPr>
          <w:sz w:val="21"/>
        </w:rPr>
        <w:t>则根据列联表中的数据计算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100</m:t>
              </m:r>
              <m:r>
                <w:rPr>
                  <w:rFonts w:ascii="Cambria Math" w:eastAsia="宋体" w:hAnsi="Cambria Math" w:cs="Cambria Math"/>
                </w:rPr>
                <m:t>×</m:t>
              </m:r>
              <m:sSup>
                <m:e>
                  <m:d>
                    <m:dPr>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42</m:t>
                      </m:r>
                      <m:r>
                        <w:rPr>
                          <w:rFonts w:ascii="Cambria Math" w:eastAsia="宋体" w:hAnsi="Cambria Math" w:cs="Cambria Math"/>
                        </w:rPr>
                        <m:t>×</m:t>
                      </m:r>
                      <m:r>
                        <w:rPr>
                          <w:rFonts w:ascii="Cambria Math" w:eastAsia="宋体" w:hAnsi="Cambria Math" w:cs="Cambria Math"/>
                        </w:rPr>
                        <m:t>20</m:t>
                      </m:r>
                    </m:e>
                  </m:d>
                </m:e>
                <m:sup>
                  <m:r>
                    <w:rPr>
                      <w:rFonts w:ascii="Cambria Math" w:eastAsia="宋体" w:hAnsi="Cambria Math" w:cs="Cambria Math"/>
                    </w:rPr>
                    <m:t>2</m:t>
                  </m:r>
                </m:sup>
              </m:sSup>
            </m:num>
            <m:den>
              <m:r>
                <w:rPr>
                  <w:rFonts w:ascii="Cambria Math" w:eastAsia="宋体" w:hAnsi="Cambria Math" w:cs="Cambria Math"/>
                </w:rPr>
                <m:t>62</m:t>
              </m:r>
              <m:r>
                <w:rPr>
                  <w:rFonts w:ascii="Cambria Math" w:eastAsia="宋体" w:hAnsi="Cambria Math" w:cs="Cambria Math"/>
                </w:rPr>
                <m:t>×</m:t>
              </m:r>
              <m:r>
                <w:rPr>
                  <w:rFonts w:ascii="Cambria Math" w:eastAsia="宋体" w:hAnsi="Cambria Math" w:cs="Cambria Math"/>
                </w:rPr>
                <m:t>38</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40</m:t>
              </m:r>
            </m:den>
          </m:f>
          <m:r>
            <w:rPr>
              <w:rFonts w:ascii="Cambria Math" w:eastAsia="宋体" w:hAnsi="Cambria Math" w:cs="Cambria Math"/>
            </w:rPr>
            <m:t>=</m:t>
          </m:r>
          <m:f>
            <m:num>
              <m:r>
                <w:rPr>
                  <w:rFonts w:ascii="Cambria Math" w:eastAsia="宋体" w:hAnsi="Cambria Math" w:cs="Cambria Math"/>
                </w:rPr>
                <m:t>2400</m:t>
              </m:r>
            </m:num>
            <m:den>
              <m:r>
                <w:rPr>
                  <w:rFonts w:ascii="Cambria Math" w:eastAsia="宋体" w:hAnsi="Cambria Math" w:cs="Cambria Math"/>
                </w:rPr>
                <m:t>589</m:t>
              </m:r>
            </m:den>
          </m:f>
          <m:r>
            <w:rPr>
              <w:rFonts w:ascii="Cambria Math" w:eastAsia="宋体" w:hAnsi="Cambria Math" w:cs="Cambria Math"/>
            </w:rPr>
            <m:t>≈</m:t>
          </m:r>
          <m:r>
            <w:rPr>
              <w:rFonts w:ascii="Cambria Math" w:eastAsia="宋体" w:hAnsi="Cambria Math" w:cs="Cambria Math"/>
            </w:rPr>
            <m:t>4.075</m:t>
          </m:r>
          <m:r>
            <w:rPr>
              <w:rFonts w:ascii="Cambria Math" w:eastAsia="宋体" w:hAnsi="Cambria Math" w:cs="Cambria Math"/>
            </w:rPr>
            <m:t>&gt;</m:t>
          </m:r>
          <m:r>
            <w:rPr>
              <w:rFonts w:ascii="Cambria Math" w:eastAsia="宋体" w:hAnsi="Cambria Math" w:cs="Cambria Math"/>
            </w:rPr>
            <m:t>3.841</m:t>
          </m:r>
        </m:oMath>
      </m:oMathPara>
      <w:r>
        <w:rPr>
          <w:sz w:val="21"/>
        </w:rPr>
        <w:t>，</w:t>
      </w:r>
    </w:p>
    <w:p>
      <w:pPr>
        <w:shd w:val="clear" w:color="auto" w:fill="auto"/>
        <w:spacing w:line="360" w:lineRule="auto"/>
        <w:jc w:val="left"/>
        <w:rPr>
          <w:sz w:val="21"/>
        </w:rPr>
      </w:pPr>
      <w:r>
        <w:rPr>
          <w:sz w:val="21"/>
        </w:rPr>
        <w:t>所以依据小概率值</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0.05</m:t>
          </m:r>
        </m:oMath>
      </m:oMathPara>
      <w:r>
        <w:rPr>
          <w:sz w:val="21"/>
        </w:rPr>
        <w:t>的独立性检验，认为此种疾病治愈与治疗方法有关，此推断犯错误的概率不大于</w:t>
      </w:r>
      <m:oMathPara>
        <m:oMathParaPr>
          <m:jc m:val="left"/>
        </m:oMathParaPr>
        <m:oMath>
          <m:r>
            <w:rPr>
              <w:rFonts w:ascii="Cambria Math" w:eastAsia="宋体" w:hAnsi="Cambria Math" w:cs="Cambria Math"/>
            </w:rPr>
            <m:t>0.05</m:t>
          </m:r>
        </m:oMath>
      </m:oMathPara>
      <w:r>
        <w:rPr>
          <w:sz w:val="21"/>
        </w:rPr>
        <w:t>.</w:t>
      </w:r>
    </w:p>
    <w:p>
      <w:pPr>
        <w:shd w:val="clear" w:color="auto" w:fill="auto"/>
        <w:spacing w:line="360" w:lineRule="auto"/>
        <w:jc w:val="left"/>
        <w:rPr>
          <w:sz w:val="21"/>
        </w:rPr>
      </w:pPr>
      <w:r>
        <w:rPr>
          <w:sz w:val="21"/>
        </w:rPr>
        <w:t>34．某校高三年级为了提高学校的升学率，制订了两套学习方案，甲班采用方案一，乙班采用方案二，两个班均有50人，学期期末对两班进行测试，测试成绩的分组区间为</w:t>
      </w:r>
      <m:oMathPara>
        <m:oMathParaPr>
          <m:jc m:val="left"/>
        </m:oMathParaPr>
        <m:oMath>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130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130</m:t>
          </m:r>
          <m:r>
            <w:rPr>
              <w:rFonts w:ascii="Cambria Math" w:eastAsia="宋体" w:hAnsi="Cambria Math" w:cs="Cambria Math"/>
            </w:rPr>
            <m:t>,</m:t>
          </m:r>
          <m:r>
            <w:rPr>
              <w:rFonts w:ascii="Cambria Math" w:eastAsia="宋体" w:hAnsi="Cambria Math" w:cs="Cambria Math"/>
            </w:rPr>
            <m:t>140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140</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oMath>
      </m:oMathPara>
      <w:r>
        <w:rPr>
          <w:sz w:val="21"/>
        </w:rPr>
        <w:t>，由此得到两个班测试成绩的频率分布直方图如图：</w:t>
      </w:r>
    </w:p>
    <w:p>
      <w:pPr>
        <w:shd w:val="clear" w:color="auto" w:fill="auto"/>
        <w:spacing w:line="360" w:lineRule="auto"/>
        <w:jc w:val="left"/>
        <w:rPr>
          <w:sz w:val="21"/>
        </w:rPr>
      </w:pPr>
      <w:r>
        <w:rPr>
          <w:sz w:val="21"/>
        </w:rPr>
        <w:t xml:space="preserve"> </w:t>
      </w:r>
      <w:r>
        <w:rPr>
          <w:rFonts w:ascii="Times New Roman" w:eastAsia="Times New Roman" w:hAnsi="Times New Roman" w:cs="Times New Roman"/>
          <w:strike w:val="0"/>
          <w:kern w:val="0"/>
          <w:sz w:val="24"/>
          <w:szCs w:val="24"/>
          <w:u w:val="none"/>
        </w:rPr>
        <w:drawing>
          <wp:inline>
            <wp:extent cx="1952625" cy="1638300"/>
            <wp:docPr id="100023" name="" descr="@@@8f5b7add-3718-479a-a09b-45b83c04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952625" cy="16383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952625" cy="1638300"/>
            <wp:docPr id="100025" name="" descr="@@@e53b9095-b418-4e23-a448-49946ef49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952625" cy="1638300"/>
                    </a:xfrm>
                    <a:prstGeom prst="rect">
                      <a:avLst/>
                    </a:prstGeom>
                  </pic:spPr>
                </pic:pic>
              </a:graphicData>
            </a:graphic>
          </wp:inline>
        </w:drawing>
      </w:r>
    </w:p>
    <w:p>
      <w:pPr>
        <w:shd w:val="clear" w:color="auto" w:fill="auto"/>
        <w:spacing w:line="360" w:lineRule="auto"/>
        <w:jc w:val="left"/>
        <w:rPr>
          <w:sz w:val="21"/>
        </w:rPr>
      </w:pPr>
      <w:r>
        <w:rPr>
          <w:sz w:val="21"/>
        </w:rPr>
        <w:t>(1)完成下面</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列联表，画出等高堆积图．你能有97.5%的把握认为“这两个班在这次测试中成绩的差异与学习方案有关”吗？并说明理由；</w:t>
      </w:r>
    </w:p>
    <w:tbl>
      <w:tblPr>
        <w:tblStyle w:val="TableNormal"/>
        <w:tblW w:w="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36"/>
        <w:gridCol w:w="2034"/>
        <w:gridCol w:w="1824"/>
        <w:gridCol w:w="836"/>
      </w:tblGrid>
      <w:tr>
        <w:tblPrEx>
          <w:tblW w:w="555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成绩不小于130分</w:t>
            </w:r>
          </w:p>
        </w:tc>
        <w:tc>
          <w:tcPr>
            <w:tcW w:w="18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成绩小于130分</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blPrEx>
          <w:tblW w:w="555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甲班</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8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555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乙班</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8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555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8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bl>
    <w:p>
      <w:pPr>
        <w:shd w:val="clear" w:color="auto" w:fill="auto"/>
        <w:spacing w:line="360" w:lineRule="auto"/>
        <w:jc w:val="left"/>
        <w:rPr>
          <w:sz w:val="21"/>
        </w:rPr>
      </w:pPr>
      <w:r>
        <w:rPr>
          <w:sz w:val="21"/>
        </w:rPr>
        <w:t>(2)现从甲班中任意抽取3人，记</w:t>
      </w:r>
      <m:oMathPara>
        <m:oMathParaPr>
          <m:jc m:val="left"/>
        </m:oMathParaPr>
        <m:oMath>
          <m:r>
            <w:rPr>
              <w:rFonts w:ascii="Cambria Math" w:eastAsia="宋体" w:hAnsi="Cambria Math" w:cs="Cambria Math"/>
            </w:rPr>
            <m:t>η</m:t>
          </m:r>
        </m:oMath>
      </m:oMathPara>
      <w:r>
        <w:rPr>
          <w:sz w:val="21"/>
        </w:rPr>
        <w:t>表示抽到测试成绩在</w:t>
      </w:r>
      <m:oMathPara>
        <m:oMathParaPr>
          <m:jc m:val="left"/>
        </m:oMathParaPr>
        <m:oMath>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m:t>
          </m:r>
          <m:r>
            <w:rPr>
              <w:rFonts w:ascii="Cambria Math" w:eastAsia="宋体" w:hAnsi="Cambria Math" w:cs="Cambria Math"/>
            </w:rPr>
            <m:t>130</m:t>
          </m:r>
          <m:r>
            <w:rPr>
              <w:rFonts w:ascii="Cambria Math" w:eastAsia="宋体" w:hAnsi="Cambria Math" w:cs="Cambria Math"/>
            </w:rPr>
            <m:t>)</m:t>
          </m:r>
        </m:oMath>
      </m:oMathPara>
      <w:r>
        <w:rPr>
          <w:sz w:val="21"/>
        </w:rPr>
        <w:t>的人数，求</w:t>
      </w:r>
      <m:oMathPara>
        <m:oMathParaPr>
          <m:jc m:val="left"/>
        </m:oMathParaPr>
        <m:oMath>
          <m:r>
            <w:rPr>
              <w:rFonts w:ascii="Cambria Math" w:eastAsia="宋体" w:hAnsi="Cambria Math" w:cs="Cambria Math"/>
            </w:rPr>
            <m:t>η</m:t>
          </m:r>
        </m:oMath>
      </m:oMathPara>
      <w:r>
        <w:rPr>
          <w:sz w:val="21"/>
        </w:rPr>
        <w:t>的分布列和数学期望</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η</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附：</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den>
          </m:f>
        </m:oMath>
      </m:oMathPara>
      <w:r>
        <w:rPr>
          <w:sz w:val="21"/>
        </w:rPr>
        <w:t>，其中</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w:t>
      </w:r>
    </w:p>
    <w:tbl>
      <w:tblPr>
        <w:tblStyle w:val="TableNormal"/>
        <w:tblW w:w="7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7"/>
        <w:gridCol w:w="937"/>
        <w:gridCol w:w="937"/>
        <w:gridCol w:w="937"/>
        <w:gridCol w:w="937"/>
        <w:gridCol w:w="937"/>
        <w:gridCol w:w="937"/>
        <w:gridCol w:w="1042"/>
      </w:tblGrid>
      <w:tr>
        <w:tblPrEx>
          <w:tblW w:w="7770" w:type="dxa"/>
        </w:tblPrEx>
        <w:trPr>
          <w:cantSplit w:val="0"/>
        </w:trPr>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0</m:t>
                    </m:r>
                  </m:sub>
                </m:sSub>
                <m:r>
                  <w:rPr>
                    <w:rFonts w:ascii="Cambria Math" w:eastAsia="宋体" w:hAnsi="Cambria Math" w:cs="Cambria Math"/>
                  </w:rPr>
                  <m:t>)</m:t>
                </m:r>
              </m:oMath>
            </m:oMathPara>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0.15</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0.10</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0.05</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0.025</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0.010</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0.005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0.001</w:t>
            </w:r>
          </w:p>
        </w:tc>
      </w:tr>
      <w:tr>
        <w:tblPrEx>
          <w:tblW w:w="7770" w:type="dxa"/>
        </w:tblPrEx>
        <w:trPr>
          <w:cantSplit w:val="0"/>
        </w:trPr>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0</m:t>
                    </m:r>
                  </m:sub>
                </m:sSub>
              </m:oMath>
            </m:oMathPara>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2.072</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2.706</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3.841</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5.204</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6.635</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7.879</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10.828</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【答案】(1)列联表见解析，有97.5%的把握认为“这两个班在这次测试中成绩的差异与学习方案有关”，理由见解析；</w:t>
      </w:r>
    </w:p>
    <w:p>
      <w:pPr>
        <w:shd w:val="clear" w:color="auto" w:fill="auto"/>
        <w:spacing w:line="360" w:lineRule="auto"/>
        <w:jc w:val="left"/>
        <w:rPr>
          <w:sz w:val="21"/>
        </w:rPr>
      </w:pPr>
      <w:r>
        <w:rPr>
          <w:sz w:val="21"/>
        </w:rPr>
        <w:t>(2)分布列见解析，</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【知识点】等高条形图、独立性检验解决实际问题、写出简单离散型随机变量分布列、求离散型随机变量的均值</w:t>
      </w:r>
    </w:p>
    <w:p>
      <w:pPr>
        <w:shd w:val="clear" w:color="auto" w:fill="auto"/>
        <w:spacing w:line="360" w:lineRule="auto"/>
        <w:jc w:val="left"/>
        <w:rPr>
          <w:sz w:val="21"/>
        </w:rPr>
      </w:pPr>
      <w:r>
        <w:rPr>
          <w:sz w:val="21"/>
        </w:rPr>
        <w:t>【分析】（1）根据题设完善列联表，并画出等高堆积图，再应用卡方计算公式求卡方值，与参考值比较大小，结合独立检验的基本思想得到结论；</w:t>
      </w:r>
    </w:p>
    <w:p>
      <w:pPr>
        <w:shd w:val="clear" w:color="auto" w:fill="auto"/>
        <w:spacing w:line="360" w:lineRule="auto"/>
        <w:jc w:val="left"/>
        <w:rPr>
          <w:sz w:val="21"/>
        </w:rPr>
      </w:pPr>
      <w:r>
        <w:rPr>
          <w:sz w:val="21"/>
        </w:rPr>
        <w:t>（2）由题设</w:t>
      </w:r>
      <m:oMathPara>
        <m:oMathParaPr>
          <m:jc m:val="left"/>
        </m:oMathParaPr>
        <m:oMath>
          <m:r>
            <w:rPr>
              <w:rFonts w:ascii="Cambria Math" w:eastAsia="宋体" w:hAnsi="Cambria Math" w:cs="Cambria Math"/>
            </w:rPr>
            <m:t>η</m:t>
          </m:r>
        </m:oMath>
      </m:oMathPara>
      <w:r>
        <w:rPr>
          <w:sz w:val="21"/>
        </w:rPr>
        <w:t>可以取0，1，2，3，求出各可能值对应的概率，进而写出分布列，求出期望值.</w:t>
      </w:r>
    </w:p>
    <w:p>
      <w:pPr>
        <w:shd w:val="clear" w:color="auto" w:fill="auto"/>
        <w:spacing w:line="360" w:lineRule="auto"/>
        <w:jc w:val="left"/>
        <w:rPr>
          <w:sz w:val="21"/>
        </w:rPr>
      </w:pPr>
      <w:r>
        <w:rPr>
          <w:sz w:val="21"/>
        </w:rPr>
        <w:t>【详解】（1）甲班成绩不小于130分的人数为</w:t>
      </w:r>
      <m:oMathPara>
        <m:oMathParaPr>
          <m:jc m:val="left"/>
        </m:oMathParaPr>
        <m:oMath>
          <m:r>
            <w:rPr>
              <w:rFonts w:ascii="Cambria Math" w:eastAsia="宋体" w:hAnsi="Cambria Math" w:cs="Cambria Math"/>
            </w:rPr>
            <m:t>(</m:t>
          </m:r>
          <m:r>
            <w:rPr>
              <w:rFonts w:ascii="Cambria Math" w:eastAsia="宋体" w:hAnsi="Cambria Math" w:cs="Cambria Math"/>
            </w:rPr>
            <m:t>0.020</m:t>
          </m:r>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15</m:t>
          </m:r>
        </m:oMath>
      </m:oMathPara>
      <w:r>
        <w:rPr>
          <w:sz w:val="21"/>
        </w:rPr>
        <w:t>，</w:t>
      </w:r>
    </w:p>
    <w:p>
      <w:pPr>
        <w:shd w:val="clear" w:color="auto" w:fill="auto"/>
        <w:spacing w:line="360" w:lineRule="auto"/>
        <w:jc w:val="left"/>
        <w:rPr>
          <w:sz w:val="21"/>
        </w:rPr>
      </w:pPr>
      <w:r>
        <w:rPr>
          <w:sz w:val="21"/>
        </w:rPr>
        <w:t>甲班成绩小于130分的人数为</w:t>
      </w:r>
      <m:oMathPara>
        <m:oMathParaPr>
          <m:jc m:val="left"/>
        </m:oMathParaPr>
        <m:oMath>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35</m:t>
          </m:r>
        </m:oMath>
      </m:oMathPara>
      <w:r>
        <w:rPr>
          <w:sz w:val="21"/>
        </w:rPr>
        <w:t>，</w:t>
      </w:r>
    </w:p>
    <w:p>
      <w:pPr>
        <w:shd w:val="clear" w:color="auto" w:fill="auto"/>
        <w:spacing w:line="360" w:lineRule="auto"/>
        <w:jc w:val="left"/>
        <w:rPr>
          <w:sz w:val="21"/>
        </w:rPr>
      </w:pPr>
      <w:r>
        <w:rPr>
          <w:sz w:val="21"/>
        </w:rPr>
        <w:t>乙班成绩不小于130分的人数为</w:t>
      </w:r>
      <m:oMathPara>
        <m:oMathParaPr>
          <m:jc m:val="left"/>
        </m:oMathParaPr>
        <m:oMath>
          <m:r>
            <w:rPr>
              <w:rFonts w:ascii="Cambria Math" w:eastAsia="宋体" w:hAnsi="Cambria Math" w:cs="Cambria Math"/>
            </w:rPr>
            <m:t>(</m:t>
          </m:r>
          <m:r>
            <w:rPr>
              <w:rFonts w:ascii="Cambria Math" w:eastAsia="宋体" w:hAnsi="Cambria Math" w:cs="Cambria Math"/>
            </w:rPr>
            <m:t>0.007</m:t>
          </m:r>
          <m:r>
            <w:rPr>
              <w:rFonts w:ascii="Cambria Math" w:eastAsia="宋体" w:hAnsi="Cambria Math" w:cs="Cambria Math"/>
            </w:rPr>
            <m:t>+</m:t>
          </m:r>
          <m:r>
            <w:rPr>
              <w:rFonts w:ascii="Cambria Math" w:eastAsia="宋体" w:hAnsi="Cambria Math" w:cs="Cambria Math"/>
            </w:rPr>
            <m:t>0.003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乙班成绩小于130分的人数为</w:t>
      </w:r>
      <m:oMathPara>
        <m:oMathParaPr>
          <m:jc m:val="left"/>
        </m:oMathParaPr>
        <m:oMath>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45</m:t>
          </m:r>
        </m:oMath>
      </m:oMathPara>
      <w:r>
        <w:rPr>
          <w:sz w:val="21"/>
        </w:rPr>
        <w:t>，</w:t>
      </w:r>
    </w:p>
    <w:p>
      <w:pPr>
        <w:shd w:val="clear" w:color="auto" w:fill="auto"/>
        <w:spacing w:line="360" w:lineRule="auto"/>
        <w:jc w:val="left"/>
        <w:rPr>
          <w:sz w:val="21"/>
        </w:rPr>
      </w:pPr>
      <w:r>
        <w:rPr>
          <w:sz w:val="21"/>
        </w:rPr>
        <w:t>列联表：</w:t>
      </w:r>
    </w:p>
    <w:tbl>
      <w:tblPr>
        <w:tblStyle w:val="TableNormal"/>
        <w:tblW w:w="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36"/>
        <w:gridCol w:w="2034"/>
        <w:gridCol w:w="1824"/>
        <w:gridCol w:w="836"/>
      </w:tblGrid>
      <w:tr>
        <w:tblPrEx>
          <w:tblW w:w="555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成绩不小于130分</w:t>
            </w:r>
          </w:p>
        </w:tc>
        <w:tc>
          <w:tcPr>
            <w:tcW w:w="18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成绩小于130分</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blPrEx>
          <w:tblW w:w="555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甲班</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c>
          <w:tcPr>
            <w:tcW w:w="18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r>
      <w:tr>
        <w:tblPrEx>
          <w:tblW w:w="555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乙班</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18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r>
      <w:tr>
        <w:tblPrEx>
          <w:tblW w:w="555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c>
          <w:tcPr>
            <w:tcW w:w="18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r>
    </w:tbl>
    <w:p>
      <w:pPr>
        <w:shd w:val="clear" w:color="auto" w:fill="auto"/>
        <w:spacing w:line="360" w:lineRule="auto"/>
        <w:jc w:val="left"/>
        <w:rPr>
          <w:sz w:val="21"/>
        </w:rPr>
      </w:pPr>
      <w:r>
        <w:rPr>
          <w:sz w:val="21"/>
        </w:rPr>
        <w:t>等高堆积图如图2：</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923925"/>
            <wp:docPr id="100027" name="" descr="@@@119e1948-d61a-493d-a640-82fafec1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905000" cy="923925"/>
                    </a:xfrm>
                    <a:prstGeom prst="rect">
                      <a:avLst/>
                    </a:prstGeom>
                  </pic:spPr>
                </pic:pic>
              </a:graphicData>
            </a:graphic>
          </wp:inline>
        </w:drawing>
      </w:r>
      <m:oMathPara>
        <m:oMathParaPr>
          <m:jc m:val="left"/>
        </m:oMathParaPr>
        <m:oMath>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100</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80</m:t>
              </m:r>
            </m:den>
          </m:f>
          <m:r>
            <w:rPr>
              <w:rFonts w:ascii="Cambria Math" w:eastAsia="宋体" w:hAnsi="Cambria Math" w:cs="Cambria Math"/>
            </w:rPr>
            <m:t>=</m:t>
          </m:r>
          <m:r>
            <w:rPr>
              <w:rFonts w:ascii="Cambria Math" w:eastAsia="宋体" w:hAnsi="Cambria Math" w:cs="Cambria Math"/>
            </w:rPr>
            <m:t>6.25</m:t>
          </m:r>
          <m:r>
            <w:rPr>
              <w:rFonts w:ascii="Cambria Math" w:eastAsia="宋体" w:hAnsi="Cambria Math" w:cs="Cambria Math"/>
            </w:rPr>
            <m:t>&gt;</m:t>
          </m:r>
          <m:r>
            <w:rPr>
              <w:rFonts w:ascii="Cambria Math" w:eastAsia="宋体" w:hAnsi="Cambria Math" w:cs="Cambria Math"/>
            </w:rPr>
            <m:t>5.204</m:t>
          </m:r>
        </m:oMath>
      </m:oMathPara>
      <w:r>
        <w:rPr>
          <w:sz w:val="21"/>
        </w:rPr>
        <w:t>，</w:t>
      </w:r>
    </w:p>
    <w:p>
      <w:pPr>
        <w:shd w:val="clear" w:color="auto" w:fill="auto"/>
        <w:spacing w:line="360" w:lineRule="auto"/>
        <w:jc w:val="left"/>
        <w:rPr>
          <w:sz w:val="21"/>
        </w:rPr>
      </w:pPr>
      <w:r>
        <w:rPr>
          <w:sz w:val="21"/>
        </w:rPr>
        <w:t>所以有97.5%的把握认为“这两个班在这次测试中成绩的差异与学习方案有关”．</w:t>
      </w:r>
    </w:p>
    <w:p>
      <w:pPr>
        <w:shd w:val="clear" w:color="auto" w:fill="auto"/>
        <w:spacing w:line="360" w:lineRule="auto"/>
        <w:jc w:val="left"/>
        <w:rPr>
          <w:sz w:val="21"/>
        </w:rPr>
      </w:pPr>
      <w:r>
        <w:rPr>
          <w:sz w:val="21"/>
        </w:rPr>
        <w:t>（2）甲班成绩在</w:t>
      </w:r>
      <m:oMathPara>
        <m:oMathParaPr>
          <m:jc m:val="left"/>
        </m:oMathParaPr>
        <m:oMath>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m:t>
          </m:r>
          <m:r>
            <w:rPr>
              <w:rFonts w:ascii="Cambria Math" w:eastAsia="宋体" w:hAnsi="Cambria Math" w:cs="Cambria Math"/>
            </w:rPr>
            <m:t>130</m:t>
          </m:r>
          <m:r>
            <w:rPr>
              <w:rFonts w:ascii="Cambria Math" w:eastAsia="宋体" w:hAnsi="Cambria Math" w:cs="Cambria Math"/>
            </w:rPr>
            <m:t>)</m:t>
          </m:r>
        </m:oMath>
      </m:oMathPara>
      <w:r>
        <w:rPr>
          <w:sz w:val="21"/>
        </w:rPr>
        <w:t>有</w:t>
      </w:r>
      <m:oMathPara>
        <m:oMathParaPr>
          <m:jc m:val="left"/>
        </m:oMathParaPr>
        <m:oMath>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25</m:t>
          </m:r>
        </m:oMath>
      </m:oMathPara>
      <w:r>
        <w:rPr>
          <w:sz w:val="21"/>
        </w:rPr>
        <w:t>（人），</w:t>
      </w:r>
      <m:oMathPara>
        <m:oMathParaPr>
          <m:jc m:val="left"/>
        </m:oMathParaPr>
        <m:oMath>
          <m:r>
            <w:rPr>
              <w:rFonts w:ascii="Cambria Math" w:eastAsia="宋体" w:hAnsi="Cambria Math" w:cs="Cambria Math"/>
            </w:rPr>
            <m:t>η</m:t>
          </m:r>
        </m:oMath>
      </m:oMathPara>
      <w:r>
        <w:rPr>
          <w:sz w:val="21"/>
        </w:rPr>
        <w:t>可以取0，1，2，3，</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sSubSup>
                <m:e>
                  <m:r>
                    <m:rPr>
                      <m:sty m:val="p"/>
                    </m:rPr>
                    <w:rPr>
                      <w:rFonts w:ascii="Cambria Math" w:eastAsia="宋体" w:hAnsi="Cambria Math" w:cs="Cambria Math"/>
                    </w:rPr>
                    <m:t>C</m:t>
                  </m:r>
                </m:e>
                <m:sub>
                  <m:r>
                    <w:rPr>
                      <w:rFonts w:ascii="Cambria Math" w:eastAsia="宋体" w:hAnsi="Cambria Math" w:cs="Cambria Math"/>
                    </w:rPr>
                    <m:t>2</m:t>
                  </m:r>
                  <m:r>
                    <w:rPr>
                      <w:rFonts w:ascii="Cambria Math" w:eastAsia="宋体" w:hAnsi="Cambria Math" w:cs="Cambria Math"/>
                    </w:rPr>
                    <m:t>5</m:t>
                  </m:r>
                </m:sub>
                <m:sup>
                  <m:r>
                    <w:rPr>
                      <w:rFonts w:ascii="Cambria Math" w:eastAsia="宋体" w:hAnsi="Cambria Math" w:cs="Cambria Math"/>
                    </w:rPr>
                    <m:t>0</m:t>
                  </m:r>
                </m:sup>
              </m:sSubSup>
              <m:sSubSup>
                <m:e>
                  <m:r>
                    <m:rPr>
                      <m:sty m:val="p"/>
                    </m:rPr>
                    <w:rPr>
                      <w:rFonts w:ascii="Cambria Math" w:eastAsia="宋体" w:hAnsi="Cambria Math" w:cs="Cambria Math"/>
                    </w:rPr>
                    <m:t>C</m:t>
                  </m:r>
                </m:e>
                <m:sub>
                  <m:r>
                    <w:rPr>
                      <w:rFonts w:ascii="Cambria Math" w:eastAsia="宋体" w:hAnsi="Cambria Math" w:cs="Cambria Math"/>
                    </w:rPr>
                    <m:t>2</m:t>
                  </m:r>
                  <m:r>
                    <w:rPr>
                      <w:rFonts w:ascii="Cambria Math" w:eastAsia="宋体" w:hAnsi="Cambria Math" w:cs="Cambria Math"/>
                    </w:rPr>
                    <m:t>5</m:t>
                  </m:r>
                </m:sub>
                <m:sup>
                  <m:r>
                    <w:rPr>
                      <w:rFonts w:ascii="Cambria Math" w:eastAsia="宋体" w:hAnsi="Cambria Math" w:cs="Cambria Math"/>
                    </w:rPr>
                    <m:t>3</m:t>
                  </m:r>
                </m:sup>
              </m:sSubSup>
            </m:num>
            <m:den>
              <m:sSubSup>
                <m:e>
                  <m:r>
                    <m:rPr>
                      <m:sty m:val="p"/>
                    </m:rPr>
                    <w:rPr>
                      <w:rFonts w:ascii="Cambria Math" w:eastAsia="宋体" w:hAnsi="Cambria Math" w:cs="Cambria Math"/>
                    </w:rPr>
                    <m:t>C</m:t>
                  </m:r>
                </m:e>
                <m:sub>
                  <m:r>
                    <w:rPr>
                      <w:rFonts w:ascii="Cambria Math" w:eastAsia="宋体" w:hAnsi="Cambria Math" w:cs="Cambria Math"/>
                    </w:rPr>
                    <m:t>5</m:t>
                  </m:r>
                  <m:r>
                    <w:rPr>
                      <w:rFonts w:ascii="Cambria Math" w:eastAsia="宋体" w:hAnsi="Cambria Math" w:cs="Cambria Math"/>
                    </w:rPr>
                    <m:t>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196</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sSubSup>
                <m:e>
                  <m:r>
                    <m:rPr>
                      <m:sty m:val="p"/>
                    </m:rPr>
                    <w:rPr>
                      <w:rFonts w:ascii="Cambria Math" w:eastAsia="宋体" w:hAnsi="Cambria Math" w:cs="Cambria Math"/>
                    </w:rPr>
                    <m:t>C</m:t>
                  </m:r>
                </m:e>
                <m:sub>
                  <m:r>
                    <w:rPr>
                      <w:rFonts w:ascii="Cambria Math" w:eastAsia="宋体" w:hAnsi="Cambria Math" w:cs="Cambria Math"/>
                    </w:rPr>
                    <m:t>2</m:t>
                  </m:r>
                  <m:r>
                    <w:rPr>
                      <w:rFonts w:ascii="Cambria Math" w:eastAsia="宋体" w:hAnsi="Cambria Math" w:cs="Cambria Math"/>
                    </w:rPr>
                    <m:t>5</m:t>
                  </m:r>
                </m:sub>
                <m:sup>
                  <m:r>
                    <w:rPr>
                      <w:rFonts w:ascii="Cambria Math" w:eastAsia="宋体" w:hAnsi="Cambria Math" w:cs="Cambria Math"/>
                    </w:rPr>
                    <m:t>1</m:t>
                  </m:r>
                </m:sup>
              </m:sSubSup>
              <m:sSubSup>
                <m:e>
                  <m:r>
                    <m:rPr>
                      <m:sty m:val="p"/>
                    </m:rPr>
                    <w:rPr>
                      <w:rFonts w:ascii="Cambria Math" w:eastAsia="宋体" w:hAnsi="Cambria Math" w:cs="Cambria Math"/>
                    </w:rPr>
                    <m:t>C</m:t>
                  </m:r>
                </m:e>
                <m:sub>
                  <m:r>
                    <w:rPr>
                      <w:rFonts w:ascii="Cambria Math" w:eastAsia="宋体" w:hAnsi="Cambria Math" w:cs="Cambria Math"/>
                    </w:rPr>
                    <m:t>2</m:t>
                  </m:r>
                  <m:r>
                    <w:rPr>
                      <w:rFonts w:ascii="Cambria Math" w:eastAsia="宋体" w:hAnsi="Cambria Math" w:cs="Cambria Math"/>
                    </w:rPr>
                    <m:t>5</m:t>
                  </m:r>
                </m:sub>
                <m:sup>
                  <m:r>
                    <w:rPr>
                      <w:rFonts w:ascii="Cambria Math" w:eastAsia="宋体" w:hAnsi="Cambria Math" w:cs="Cambria Math"/>
                    </w:rPr>
                    <m:t>2</m:t>
                  </m:r>
                </m:sup>
              </m:sSubSup>
            </m:num>
            <m:den>
              <m:sSubSup>
                <m:e>
                  <m:r>
                    <m:rPr>
                      <m:sty m:val="p"/>
                    </m:rPr>
                    <w:rPr>
                      <w:rFonts w:ascii="Cambria Math" w:eastAsia="宋体" w:hAnsi="Cambria Math" w:cs="Cambria Math"/>
                    </w:rPr>
                    <m:t>C</m:t>
                  </m:r>
                </m:e>
                <m:sub>
                  <m:r>
                    <w:rPr>
                      <w:rFonts w:ascii="Cambria Math" w:eastAsia="宋体" w:hAnsi="Cambria Math" w:cs="Cambria Math"/>
                    </w:rPr>
                    <m:t>5</m:t>
                  </m:r>
                  <m:r>
                    <w:rPr>
                      <w:rFonts w:ascii="Cambria Math" w:eastAsia="宋体" w:hAnsi="Cambria Math" w:cs="Cambria Math"/>
                    </w:rPr>
                    <m:t>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75</m:t>
              </m:r>
            </m:num>
            <m:den>
              <m:r>
                <w:rPr>
                  <w:rFonts w:ascii="Cambria Math" w:eastAsia="宋体" w:hAnsi="Cambria Math" w:cs="Cambria Math"/>
                </w:rPr>
                <m:t>196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sSubSup>
                <m:e>
                  <m:r>
                    <m:rPr>
                      <m:sty m:val="p"/>
                    </m:rPr>
                    <w:rPr>
                      <w:rFonts w:ascii="Cambria Math" w:eastAsia="宋体" w:hAnsi="Cambria Math" w:cs="Cambria Math"/>
                    </w:rPr>
                    <m:t>C</m:t>
                  </m:r>
                </m:e>
                <m:sub>
                  <m:r>
                    <w:rPr>
                      <w:rFonts w:ascii="Cambria Math" w:eastAsia="宋体" w:hAnsi="Cambria Math" w:cs="Cambria Math"/>
                    </w:rPr>
                    <m:t>2</m:t>
                  </m:r>
                  <m:r>
                    <w:rPr>
                      <w:rFonts w:ascii="Cambria Math" w:eastAsia="宋体" w:hAnsi="Cambria Math" w:cs="Cambria Math"/>
                    </w:rPr>
                    <m:t>5</m:t>
                  </m:r>
                </m:sub>
                <m:sup>
                  <m:r>
                    <w:rPr>
                      <w:rFonts w:ascii="Cambria Math" w:eastAsia="宋体" w:hAnsi="Cambria Math" w:cs="Cambria Math"/>
                    </w:rPr>
                    <m:t>2</m:t>
                  </m:r>
                </m:sup>
              </m:sSubSup>
              <m:sSubSup>
                <m:e>
                  <m:r>
                    <m:rPr>
                      <m:sty m:val="p"/>
                    </m:rPr>
                    <w:rPr>
                      <w:rFonts w:ascii="Cambria Math" w:eastAsia="宋体" w:hAnsi="Cambria Math" w:cs="Cambria Math"/>
                    </w:rPr>
                    <m:t>C</m:t>
                  </m:r>
                </m:e>
                <m:sub>
                  <m:r>
                    <w:rPr>
                      <w:rFonts w:ascii="Cambria Math" w:eastAsia="宋体" w:hAnsi="Cambria Math" w:cs="Cambria Math"/>
                    </w:rPr>
                    <m:t>2</m:t>
                  </m:r>
                  <m:r>
                    <w:rPr>
                      <w:rFonts w:ascii="Cambria Math" w:eastAsia="宋体" w:hAnsi="Cambria Math" w:cs="Cambria Math"/>
                    </w:rPr>
                    <m:t>5</m:t>
                  </m:r>
                </m:sub>
                <m:sup>
                  <m:r>
                    <w:rPr>
                      <w:rFonts w:ascii="Cambria Math" w:eastAsia="宋体" w:hAnsi="Cambria Math" w:cs="Cambria Math"/>
                    </w:rPr>
                    <m:t>1</m:t>
                  </m:r>
                </m:sup>
              </m:sSubSup>
            </m:num>
            <m:den>
              <m:sSubSup>
                <m:e>
                  <m:r>
                    <m:rPr>
                      <m:sty m:val="p"/>
                    </m:rPr>
                    <w:rPr>
                      <w:rFonts w:ascii="Cambria Math" w:eastAsia="宋体" w:hAnsi="Cambria Math" w:cs="Cambria Math"/>
                    </w:rPr>
                    <m:t>C</m:t>
                  </m:r>
                </m:e>
                <m:sub>
                  <m:r>
                    <w:rPr>
                      <w:rFonts w:ascii="Cambria Math" w:eastAsia="宋体" w:hAnsi="Cambria Math" w:cs="Cambria Math"/>
                    </w:rPr>
                    <m:t>5</m:t>
                  </m:r>
                  <m:r>
                    <w:rPr>
                      <w:rFonts w:ascii="Cambria Math" w:eastAsia="宋体" w:hAnsi="Cambria Math" w:cs="Cambria Math"/>
                    </w:rPr>
                    <m:t>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75</m:t>
              </m:r>
            </m:num>
            <m:den>
              <m:r>
                <w:rPr>
                  <w:rFonts w:ascii="Cambria Math" w:eastAsia="宋体" w:hAnsi="Cambria Math" w:cs="Cambria Math"/>
                </w:rPr>
                <m:t>196</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sSubSup>
                <m:e>
                  <m:r>
                    <m:rPr>
                      <m:sty m:val="p"/>
                    </m:rPr>
                    <w:rPr>
                      <w:rFonts w:ascii="Cambria Math" w:eastAsia="宋体" w:hAnsi="Cambria Math" w:cs="Cambria Math"/>
                    </w:rPr>
                    <m:t>C</m:t>
                  </m:r>
                </m:e>
                <m:sub>
                  <m:r>
                    <w:rPr>
                      <w:rFonts w:ascii="Cambria Math" w:eastAsia="宋体" w:hAnsi="Cambria Math" w:cs="Cambria Math"/>
                    </w:rPr>
                    <m:t>2</m:t>
                  </m:r>
                  <m:r>
                    <w:rPr>
                      <w:rFonts w:ascii="Cambria Math" w:eastAsia="宋体" w:hAnsi="Cambria Math" w:cs="Cambria Math"/>
                    </w:rPr>
                    <m:t>5</m:t>
                  </m:r>
                </m:sub>
                <m:sup>
                  <m:r>
                    <w:rPr>
                      <w:rFonts w:ascii="Cambria Math" w:eastAsia="宋体" w:hAnsi="Cambria Math" w:cs="Cambria Math"/>
                    </w:rPr>
                    <m:t>3</m:t>
                  </m:r>
                </m:sup>
              </m:sSubSup>
              <m:sSubSup>
                <m:e>
                  <m:r>
                    <m:rPr>
                      <m:sty m:val="p"/>
                    </m:rPr>
                    <w:rPr>
                      <w:rFonts w:ascii="Cambria Math" w:eastAsia="宋体" w:hAnsi="Cambria Math" w:cs="Cambria Math"/>
                    </w:rPr>
                    <m:t>C</m:t>
                  </m:r>
                </m:e>
                <m:sub>
                  <m:r>
                    <w:rPr>
                      <w:rFonts w:ascii="Cambria Math" w:eastAsia="宋体" w:hAnsi="Cambria Math" w:cs="Cambria Math"/>
                    </w:rPr>
                    <m:t>2</m:t>
                  </m:r>
                  <m:r>
                    <w:rPr>
                      <w:rFonts w:ascii="Cambria Math" w:eastAsia="宋体" w:hAnsi="Cambria Math" w:cs="Cambria Math"/>
                    </w:rPr>
                    <m:t>5</m:t>
                  </m:r>
                </m:sub>
                <m:sup>
                  <m:r>
                    <w:rPr>
                      <w:rFonts w:ascii="Cambria Math" w:eastAsia="宋体" w:hAnsi="Cambria Math" w:cs="Cambria Math"/>
                    </w:rPr>
                    <m:t>0</m:t>
                  </m:r>
                </m:sup>
              </m:sSubSup>
            </m:num>
            <m:den>
              <m:sSubSup>
                <m:e>
                  <m:r>
                    <m:rPr>
                      <m:sty m:val="p"/>
                    </m:rPr>
                    <w:rPr>
                      <w:rFonts w:ascii="Cambria Math" w:eastAsia="宋体" w:hAnsi="Cambria Math" w:cs="Cambria Math"/>
                    </w:rPr>
                    <m:t>C</m:t>
                  </m:r>
                </m:e>
                <m:sub>
                  <m:r>
                    <w:rPr>
                      <w:rFonts w:ascii="Cambria Math" w:eastAsia="宋体" w:hAnsi="Cambria Math" w:cs="Cambria Math"/>
                    </w:rPr>
                    <m:t>5</m:t>
                  </m:r>
                  <m:r>
                    <w:rPr>
                      <w:rFonts w:ascii="Cambria Math" w:eastAsia="宋体" w:hAnsi="Cambria Math" w:cs="Cambria Math"/>
                    </w:rPr>
                    <m:t>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196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η</m:t>
          </m:r>
        </m:oMath>
      </m:oMathPara>
      <w:r>
        <w:rPr>
          <w:sz w:val="21"/>
        </w:rPr>
        <w:t>的分布列为</w:t>
      </w:r>
    </w:p>
    <w:tbl>
      <w:tblPr>
        <w:tblStyle w:val="TableNormal"/>
        <w:tblW w:w="3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56"/>
        <w:gridCol w:w="829"/>
        <w:gridCol w:w="829"/>
        <w:gridCol w:w="829"/>
        <w:gridCol w:w="829"/>
      </w:tblGrid>
      <w:tr>
        <w:tblPrEx>
          <w:tblW w:w="3990" w:type="dxa"/>
        </w:tblPrEx>
        <w:trPr>
          <w:cantSplit w:val="0"/>
        </w:trPr>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η</m:t>
                </m:r>
              </m:oMath>
            </m:oMathPara>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r>
      <w:tr>
        <w:tblPrEx>
          <w:tblW w:w="3990" w:type="dxa"/>
        </w:tblPrEx>
        <w:trPr>
          <w:cantSplit w:val="0"/>
        </w:trPr>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23</m:t>
                    </m:r>
                  </m:num>
                  <m:den>
                    <m:r>
                      <w:rPr>
                        <w:rFonts w:ascii="Cambria Math" w:eastAsia="宋体" w:hAnsi="Cambria Math" w:cs="Cambria Math"/>
                      </w:rPr>
                      <m:t>196</m:t>
                    </m:r>
                  </m:den>
                </m:f>
              </m:oMath>
            </m:oMathPara>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75</m:t>
                    </m:r>
                  </m:num>
                  <m:den>
                    <m:r>
                      <w:rPr>
                        <w:rFonts w:ascii="Cambria Math" w:eastAsia="宋体" w:hAnsi="Cambria Math" w:cs="Cambria Math"/>
                      </w:rPr>
                      <m:t>196</m:t>
                    </m:r>
                  </m:den>
                </m:f>
              </m:oMath>
            </m:oMathPara>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75</m:t>
                    </m:r>
                  </m:num>
                  <m:den>
                    <m:r>
                      <w:rPr>
                        <w:rFonts w:ascii="Cambria Math" w:eastAsia="宋体" w:hAnsi="Cambria Math" w:cs="Cambria Math"/>
                      </w:rPr>
                      <m:t>196</m:t>
                    </m:r>
                  </m:den>
                </m:f>
              </m:oMath>
            </m:oMathPara>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23</m:t>
                    </m:r>
                  </m:num>
                  <m:den>
                    <m:r>
                      <w:rPr>
                        <w:rFonts w:ascii="Cambria Math" w:eastAsia="宋体" w:hAnsi="Cambria Math" w:cs="Cambria Math"/>
                      </w:rPr>
                      <m:t>196</m:t>
                    </m:r>
                  </m:den>
                </m:f>
              </m:oMath>
            </m:oMathPara>
          </w:p>
        </w:tc>
      </w:tr>
    </w:tbl>
    <w:p>
      <w:pPr>
        <w:shd w:val="clear" w:color="auto" w:fill="auto"/>
        <w:spacing w:line="360" w:lineRule="auto"/>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196</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75</m:t>
              </m:r>
            </m:num>
            <m:den>
              <m:r>
                <w:rPr>
                  <w:rFonts w:ascii="Cambria Math" w:eastAsia="宋体" w:hAnsi="Cambria Math" w:cs="Cambria Math"/>
                </w:rPr>
                <m:t>196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75</m:t>
              </m:r>
            </m:num>
            <m:den>
              <m:r>
                <w:rPr>
                  <w:rFonts w:ascii="Cambria Math" w:eastAsia="宋体" w:hAnsi="Cambria Math" w:cs="Cambria Math"/>
                </w:rPr>
                <m:t>196</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196</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9"/>
      <w:footerReference w:type="default" r:id="rId2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footer" Target="footer2.xm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abe339eadb8b4aacaf5a8cc50a416daamjgxodiymzuzmq</vt:lpwstr>
  </property>
</Properties>
</file>