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/>
          <w:sz w:val="32"/>
        </w:rPr>
        <w:t>人教B版选必1·使用说明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41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一、视觉锚图例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>（式样＝本册现行版式真实呈现；正文双栏排版——每栏约8.6cm、栏间有分隔线，卷首标题与导航表通栏单栏。）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/>
          <w:sz w:val="24"/>
          <w:shd w:val="clear" w:color="auto" w:fill="C9C9C9"/>
        </w:rPr>
        <w:t>1.1.1.1-1．</w:t>
      </w:r>
      <w:r>
        <w:rPr>
          <w:rFonts w:ascii="Times New Roman" w:hAnsi="Times New Roman" w:eastAsia="宋体"/>
          <w:b/>
          <w:sz w:val="24"/>
        </w:rPr>
        <w:t>（简单·保60%·卡壳看答案）</w:t>
      </w:r>
      <w:r>
        <w:rPr>
          <w:rFonts w:ascii="Times New Roman" w:hAnsi="Times New Roman" w:eastAsia="宋体"/>
          <w:b w:val="0"/>
          <w:sz w:val="24"/>
        </w:rPr>
        <w:t xml:space="preserve">　题号块：「题型号-节内序号．（档位·提分线·卡壳看答案）」——底纹盖整个题号、括注不挂底纹、整块加粗；序号＝节内连续（同节跨题型累进）；题间不留空行，靠底纹分隔。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/>
          <w:sz w:val="24"/>
          <w:shd w:val="clear" w:color="auto" w:fill="C9C9C9"/>
        </w:rPr>
        <w:t>1.2.1.1-1．</w:t>
      </w:r>
      <w:r>
        <w:rPr>
          <w:rFonts w:ascii="Times New Roman" w:hAnsi="Times New Roman" w:eastAsia="宋体"/>
          <w:b/>
          <w:sz w:val="24"/>
        </w:rPr>
        <w:t>（衔接必会·卡壳看答案）</w:t>
      </w:r>
      <w:r>
        <w:rPr>
          <w:rFonts w:ascii="Times New Roman" w:hAnsi="Times New Roman" w:eastAsia="宋体"/>
          <w:b w:val="0"/>
          <w:sz w:val="24"/>
        </w:rPr>
        <w:t xml:space="preserve">　衔接件不区分难度——两段式括注、全部必会。</w:t>
      </w:r>
    </w:p>
    <w:p>
      <w:pPr>
        <w:spacing w:before="0" w:after="0" w:line="41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8"/>
        </w:rPr>
        <w:t>1.1 空间向量及其运算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章标题与节标题：整行铺底#ADC2DA＋加粗＋顶格（章三号／节四号），章标题另加底边框通栏细线。</w:t>
      </w:r>
    </w:p>
    <w:p>
      <w:pPr>
        <w:spacing w:before="0" w:after="0" w:line="41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 空间向量的概念：向量的表示</w:t>
      </w:r>
    </w:p>
    <w:p>
      <w:pPr>
        <w:spacing w:before="0" w:after="0" w:line="41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1.1.1.1 空间向量的概念：向量加减法的三角形法则</w:t>
      </w:r>
      <w:r>
        <w:rPr>
          <w:rFonts w:ascii="Times New Roman" w:hAnsi="Times New Roman" w:eastAsia="宋体"/>
          <w:b w:val="0"/>
          <w:sz w:val="24"/>
        </w:rPr>
        <w:t xml:space="preserve">　2题：1.1.1.1-1～1.1.1.1-2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讲部标题与题型标题：整行铺底#C6D4E3＋加粗＋顶格（均小四）；题型标题行末带统计段「　N题：题号a～题号b」。</w:t>
      </w:r>
    </w:p>
    <w:p>
      <w:pPr>
        <w:spacing w:before="0" w:after="0" w:line="410" w:lineRule="exact"/>
        <w:jc w:val="left"/>
        <w:shd w:val="clear" w:color="auto" w:fill="E0E0E0"/>
      </w:pPr>
      <w:r>
        <w:rPr>
          <w:rFonts w:ascii="Times New Roman" w:hAnsi="Times New Roman" w:eastAsia="宋体"/>
          <w:b w:val="0"/>
          <w:sz w:val="24"/>
        </w:rPr>
        <w:t>如图，在正方体ABCD-A₁B₁C₁D₁中，点E是AB的中点。（题干整体铺底示例）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题干底纹：每题题号块起至【答案】行之前的全部段落铺#E0E0E0（含选项与设问）；配图独立段不铺；解析区白底。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【答案】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C</w:t>
      </w:r>
      <w:r>
        <w:rPr>
          <w:rFonts w:ascii="Times New Roman" w:hAnsi="Times New Roman" w:eastAsia="宋体"/>
          <w:b w:val="0"/>
          <w:sz w:val="24"/>
        </w:rPr>
        <w:t xml:space="preserve">　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【知识点】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1.1.1 空间向量的概念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块标签芯片：【答案】【知识点】【分析】【详解】【点睛】【编注】【大招指引】【题后反思】等行内栏目标签挂同款灰底；其后答案值与需背内容一律挂同款灰底（公式型随公式整体挂灰）。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2.4-13．</w:t>
      </w:r>
      <w:r>
        <w:rPr>
          <w:rFonts w:ascii="Times New Roman" w:hAnsi="Times New Roman" w:eastAsia="宋体"/>
          <w:b w:val="0"/>
          <w:sz w:val="24"/>
        </w:rPr>
        <w:t>〔基〕</w:t>
      </w:r>
      <w:r>
        <w:rPr>
          <w:rFonts w:ascii="Times New Roman" w:hAnsi="Times New Roman" w:eastAsia="宋体"/>
          <w:b w:val="0"/>
          <w:sz w:val="24"/>
        </w:rPr>
        <w:t>平面向量基本定理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（1）</w:t>
      </w:r>
      <w:r>
        <w:rPr>
          <w:rFonts w:ascii="Times New Roman" w:hAnsi="Times New Roman" w:eastAsia="宋体"/>
          <w:b w:val="0"/>
          <w:sz w:val="24"/>
        </w:rPr>
        <w:t>定理内容：不共线两向量可线性表出任一向量。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条目号「节号-序号．」与条目第一子层「（N）」挂灰块；〔基〕＝基础必会、〔进〕＝进阶汇总（不挂底纹）。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〔基〕＝基础必会：必须学完本条目，才能做本章题目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〔进〕＝进阶汇总：本章各题型常识/结论的汇总，方便复习，必须先做题再回看</w:t>
      </w:r>
    </w:p>
    <w:p>
      <w:pPr>
        <w:spacing w:before="0" w:after="0" w:line="410" w:lineRule="exact"/>
        <w:jc w:val="left"/>
        <w:shd w:val="clear" w:color="auto" w:fill="C9C9C9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>
        <w:rPr>
          <w:rFonts w:ascii="Times New Roman" w:hAnsi="Times New Roman" w:eastAsia="宋体"/>
          <w:b w:val="0"/>
          <w:sz w:val="24"/>
        </w:rPr>
        <w:t>定理：三条射线两两垂直且相等时，PA⊥平面ABC（三垂线定理示例——定理级条目「灰底＋细框」双标记）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41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二、难度三档与提分线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简单＝单一知识点直接套用、一两步完成——保60%；中档＝常规解法多步转化或跨一两个知识点——保80%；难＝特别难的题（综合、参数、压轴）——冲100%。简单＋中档合计具备本章高考约80%分数目标所需能力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建议学习路径：先做衔接件（必会）→过知识清单〔基〕→讲练件由易到难逐题型推进→错题隔天重做。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/>
          <w:sz w:val="24"/>
        </w:rPr>
        <w:t>答案用法：</w:t>
      </w:r>
      <w:r>
        <w:rPr>
          <w:rFonts w:ascii="Times New Roman" w:hAnsi="Times New Roman" w:eastAsia="宋体"/>
          <w:b w:val="0"/>
          <w:sz w:val="24"/>
        </w:rPr>
        <w:t>每题先独立读题动手。卡壳超过10分钟立即看答案学方法，不死磕。看懂后遮住答案重做一遍，隔天重做仍错的题记入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自己的错题本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41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三、本册件型用法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衔接件：初升高铺垫，不区分难度、全部必会，题号块为两段式「（衔接必会·卡壳看答案）」。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知识清单：〔基〕条目学完才能做题；〔进〕条目是本章各题型常识/结论汇总，必须先做题再回看。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讲练件：按教材节序由易到难装配，题型通式句在该组首题前（【编注】起段）；讲部「方法讲解｜主题」置于其题型组之前。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24"/>
        </w:rPr>
        <w:t>部分封面：每部分（同一章同一种产出的全部文件）开头一页，标注该章全部部分与本部分统计——翻书定位用。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/>
          <w:sz w:val="24"/>
        </w:rPr>
        <w:t>装订组合方案：</w:t>
      </w:r>
      <w:r>
        <w:rPr>
          <w:rFonts w:ascii="Times New Roman" w:hAnsi="Times New Roman" w:eastAsia="宋体"/>
          <w:b w:val="0"/>
          <w:sz w:val="24"/>
        </w:rPr>
        <w:t>方案A整册装订（配页三件＋各部分各带部分封面）；方案B按件型抽订（全部衔接/全部清单/全部讲练）；方案C分层抽订（分层卷派生后：简单卷/中档卷/冲刺卷各按档抽订成套——分层卷以样册通过后另行派生发放）。</w:t>
      </w:r>
    </w:p>
    <w:p>
      <w:pPr>
        <w:spacing w:before="0" w:after="0" w:line="410" w:lineRule="exact"/>
        <w:jc w:val="left"/>
      </w:pPr>
      <w:r>
        <w:rPr>
          <w:rFonts w:ascii="Times New Roman" w:hAnsi="Times New Roman" w:eastAsia="宋体"/>
          <w:b w:val="0"/>
          <w:sz w:val="18"/>
        </w:rPr>
        <w:t>本册页眉页脚同串：「羿郭工作室·册名 第X章 章名·件型（共N页）·本n/共M本　节号节名　第X页」——件标识随部分独立页码、本号随装订本。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人教B版选必1·使用说明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