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/>
          <w:sz w:val="32"/>
        </w:rPr>
        <w:t>人教B版选必1·使用说明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0" w:line="410" w:lineRule="exact"/>
        <w:jc w:val="left"/>
        <w:shd w:val="clear" w:color="auto" w:fill="ADC2DA"/>
      </w:pPr>
      <w:r>
        <w:rPr>
          <w:rFonts w:ascii="Times New Roman" w:hAnsi="Times New Roman" w:eastAsia="宋体"/>
          <w:b/>
          <w:sz w:val="24"/>
        </w:rPr>
        <w:t>一、视觉锚图例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18"/>
        </w:rPr>
        <w:t>（式样＝本册现行版式真实呈现；正文双栏排版——每栏约8.6cm、栏间有分隔线，卷首标题与导航表通栏单栏。）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/>
          <w:sz w:val="24"/>
          <w:shd w:val="clear" w:color="auto" w:fill="C9C9C9"/>
        </w:rPr>
        <w:t>1.1.1.1-1．</w:t>
      </w:r>
      <w:r>
        <w:rPr>
          <w:rFonts w:ascii="Times New Roman" w:hAnsi="Times New Roman" w:eastAsia="宋体"/>
          <w:b/>
          <w:sz w:val="24"/>
        </w:rPr>
        <w:t>（简单·保60%·卡壳看答案）</w:t>
      </w:r>
      <w:r>
        <w:rPr>
          <w:rFonts w:ascii="Times New Roman" w:hAnsi="Times New Roman" w:eastAsia="宋体"/>
          <w:b w:val="0"/>
          <w:sz w:val="24"/>
        </w:rPr>
        <w:t xml:space="preserve">　题号块：「题型号-节内序号．（档位·提分线·卡壳看答案）」——底纹盖整个题号、括注不挂底纹、整块加粗；序号＝节内连续（同节跨题型累进）；题间不留空行，靠底纹分隔。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/>
          <w:sz w:val="24"/>
          <w:shd w:val="clear" w:color="auto" w:fill="C9C9C9"/>
        </w:rPr>
        <w:t>1.2.1.1-1．</w:t>
      </w:r>
      <w:r>
        <w:rPr>
          <w:rFonts w:ascii="Times New Roman" w:hAnsi="Times New Roman" w:eastAsia="宋体"/>
          <w:b/>
          <w:sz w:val="24"/>
        </w:rPr>
        <w:t>（衔接必会·卡壳看答案）</w:t>
      </w:r>
      <w:r>
        <w:rPr>
          <w:rFonts w:ascii="Times New Roman" w:hAnsi="Times New Roman" w:eastAsia="宋体"/>
          <w:b w:val="0"/>
          <w:sz w:val="24"/>
        </w:rPr>
        <w:t xml:space="preserve">　衔接件不区分难度——两段式括注、全部必会。</w:t>
      </w:r>
    </w:p>
    <w:p>
      <w:pPr>
        <w:spacing w:before="0" w:after="0" w:line="410" w:lineRule="exact"/>
        <w:jc w:val="left"/>
        <w:shd w:val="clear" w:color="auto" w:fill="ADC2DA"/>
      </w:pPr>
      <w:r>
        <w:rPr>
          <w:rFonts w:ascii="Times New Roman" w:hAnsi="Times New Roman" w:eastAsia="宋体"/>
          <w:b/>
          <w:sz w:val="28"/>
        </w:rPr>
        <w:t>1.1 空间向量及其运算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章标题与节标题：整行铺底#ADC2DA＋加粗＋顶格（章三号／节四号），章标题另加底边框通栏细线。</w:t>
      </w:r>
    </w:p>
    <w:p>
      <w:pPr>
        <w:spacing w:before="0" w:after="0" w:line="410" w:lineRule="exact"/>
        <w:jc w:val="left"/>
        <w:shd w:val="clear" w:color="auto" w:fill="C6D4E3"/>
      </w:pPr>
      <w:r>
        <w:rPr>
          <w:rFonts w:ascii="Times New Roman" w:hAnsi="Times New Roman" w:eastAsia="宋体"/>
          <w:b/>
          <w:sz w:val="24"/>
        </w:rPr>
        <w:t>1.1.1 空间向量的概念：向量的表示</w:t>
      </w:r>
    </w:p>
    <w:p>
      <w:pPr>
        <w:spacing w:before="0" w:after="0" w:line="410" w:lineRule="exact"/>
        <w:jc w:val="left"/>
        <w:shd w:val="clear" w:color="auto" w:fill="C6D4E3"/>
      </w:pPr>
      <w:r>
        <w:rPr>
          <w:rFonts w:ascii="Times New Roman" w:hAnsi="Times New Roman" w:eastAsia="宋体"/>
          <w:b/>
          <w:sz w:val="24"/>
        </w:rPr>
        <w:t>1.1.1.1 空间向量的概念：向量加减法的三角形法则</w:t>
      </w:r>
      <w:r>
        <w:rPr>
          <w:rFonts w:ascii="Times New Roman" w:hAnsi="Times New Roman" w:eastAsia="宋体"/>
          <w:b w:val="0"/>
          <w:sz w:val="24"/>
        </w:rPr>
        <w:t xml:space="preserve">　2题：1.1.1.1-1～1.1.1.1-2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讲部标题与题型标题：整行铺底#C6D4E3＋加粗＋顶格（均小四）；题型标题行末带统计段「　N题：题号a～题号b」。</w:t>
      </w:r>
    </w:p>
    <w:p>
      <w:pPr>
        <w:spacing w:before="0" w:after="0" w:line="410" w:lineRule="exact"/>
        <w:jc w:val="left"/>
        <w:shd w:val="clear" w:color="auto" w:fill="E0E0E0"/>
      </w:pPr>
      <w:r>
        <w:rPr>
          <w:rFonts w:ascii="Times New Roman" w:hAnsi="Times New Roman" w:eastAsia="宋体"/>
          <w:b w:val="0"/>
          <w:sz w:val="24"/>
        </w:rPr>
        <w:t>如图，在正方体ABCD-A₁B₁C₁D₁中，点E是AB的中点。（题干整体铺底示例）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题干底纹：每题题号块起至【答案】行之前的全部段落铺#E0E0E0（含选项与设问）；配图独立段不铺；解析区白底。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  <w:shd w:val="clear" w:color="auto" w:fill="C9C9C9"/>
        </w:rPr>
        <w:t>【答案】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Times New Roman" w:hAnsi="Times New Roman" w:eastAsia="宋体"/>
          <w:b w:val="0"/>
          <w:sz w:val="24"/>
          <w:shd w:val="clear" w:color="auto" w:fill="C9C9C9"/>
        </w:rPr>
        <w:t>C</w:t>
      </w:r>
      <w:r>
        <w:rPr>
          <w:rFonts w:ascii="Times New Roman" w:hAnsi="Times New Roman" w:eastAsia="宋体"/>
          <w:b w:val="0"/>
          <w:sz w:val="24"/>
        </w:rPr>
        <w:t xml:space="preserve">　</w:t>
      </w:r>
      <w:r>
        <w:rPr>
          <w:rFonts w:ascii="Times New Roman" w:hAnsi="Times New Roman" w:eastAsia="宋体"/>
          <w:b w:val="0"/>
          <w:sz w:val="24"/>
          <w:shd w:val="clear" w:color="auto" w:fill="C9C9C9"/>
        </w:rPr>
        <w:t>【知识点】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Times New Roman" w:hAnsi="Times New Roman" w:eastAsia="宋体"/>
          <w:b w:val="0"/>
          <w:sz w:val="24"/>
        </w:rPr>
        <w:t>1.1.1 空间向量的概念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块标签芯片：【答案】【知识点】【分析】【详解】【点睛】【编注】【大招指引】【题后反思】等行内栏目标签挂同款灰底；其后答案值与需背内容一律挂同款灰底（公式型随公式整体挂灰）。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  <w:t>【编注】＝编者补写的思路提示/通法，非素材原文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  <w:shd w:val="clear" w:color="auto" w:fill="C9C9C9"/>
        </w:rPr>
        <w:t>2.4-13．</w:t>
      </w:r>
      <w:r>
        <w:rPr>
          <w:rFonts w:ascii="Times New Roman" w:hAnsi="Times New Roman" w:eastAsia="宋体"/>
          <w:b w:val="0"/>
          <w:sz w:val="24"/>
        </w:rPr>
        <w:t>〔基〕</w:t>
      </w:r>
      <w:r>
        <w:rPr>
          <w:rFonts w:ascii="Times New Roman" w:hAnsi="Times New Roman" w:eastAsia="宋体"/>
          <w:b w:val="0"/>
          <w:sz w:val="24"/>
        </w:rPr>
        <w:t>平面向量基本定理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  <w:shd w:val="clear" w:color="auto" w:fill="C9C9C9"/>
        </w:rPr>
        <w:t>（1）</w:t>
      </w:r>
      <w:r>
        <w:rPr>
          <w:rFonts w:ascii="Times New Roman" w:hAnsi="Times New Roman" w:eastAsia="宋体"/>
          <w:b w:val="0"/>
          <w:sz w:val="24"/>
        </w:rPr>
        <w:t>定理内容：不共线两向量可线性表出任一向量。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条目号「节号-序号．」与条目第一子层「（N）」挂灰块；〔基〕＝基础必会、〔进〕＝进阶汇总（不挂底纹）。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  <w:t>〔基〕＝基础必会：必须学完本条目，才能做本章题目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  <w:t>〔进〕＝进阶汇总：本章各题型常识/结论的汇总，方便复习，必须先做题再回看</w:t>
      </w:r>
    </w:p>
    <w:p>
      <w:pPr>
        <w:spacing w:before="0" w:after="0" w:line="410" w:lineRule="exact"/>
        <w:jc w:val="left"/>
        <w:shd w:val="clear" w:color="auto" w:fill="C9C9C9"/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</w:pPr>
      <w:r>
        <w:rPr>
          <w:rFonts w:ascii="Times New Roman" w:hAnsi="Times New Roman" w:eastAsia="宋体"/>
          <w:b w:val="0"/>
          <w:sz w:val="24"/>
        </w:rPr>
        <w:t>定理：三条射线两两垂直且相等时，PA⊥平面ABC（三垂线定理示例——定理级条目「灰底＋细框」双标记）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0" w:line="410" w:lineRule="exact"/>
        <w:jc w:val="left"/>
        <w:shd w:val="clear" w:color="auto" w:fill="ADC2DA"/>
      </w:pPr>
      <w:r>
        <w:rPr>
          <w:rFonts w:ascii="Times New Roman" w:hAnsi="Times New Roman" w:eastAsia="宋体"/>
          <w:b/>
          <w:sz w:val="24"/>
        </w:rPr>
        <w:t>二、难度三档与提分线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  <w:t>简单＝单一知识点直接套用、一两步完成——保60%；中档＝常规解法多步转化或跨一两个知识点——保80%；难＝特别难的题（综合、参数、压轴）——冲100%。简单＋中档合计具备本章高考约80%分数目标所需能力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  <w:t>建议学习路径：先做衔接件（必会）→过知识清单〔基〕→讲练件由易到难逐题型推进→错题隔天重做。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/>
          <w:sz w:val="24"/>
        </w:rPr>
        <w:t>答案用法：</w:t>
      </w:r>
      <w:r>
        <w:rPr>
          <w:rFonts w:ascii="Times New Roman" w:hAnsi="Times New Roman" w:eastAsia="宋体"/>
          <w:b w:val="0"/>
          <w:sz w:val="24"/>
        </w:rPr>
        <w:t>每题先独立读题动手。卡壳超过10分钟立即看答案学方法，不死磕。看懂后遮住答案重做一遍，隔天重做仍错的题记入</w:t>
      </w:r>
      <w:r>
        <w:rPr>
          <w:rFonts w:ascii="Times New Roman" w:hAnsi="Times New Roman" w:eastAsia="宋体"/>
          <w:b w:val="0"/>
          <w:sz w:val="24"/>
          <w:shd w:val="clear" w:color="auto" w:fill="C9C9C9"/>
        </w:rPr>
        <w:t>自己的错题本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before="0" w:after="0" w:line="410" w:lineRule="exact"/>
        <w:jc w:val="left"/>
        <w:shd w:val="clear" w:color="auto" w:fill="ADC2DA"/>
      </w:pPr>
      <w:r>
        <w:rPr>
          <w:rFonts w:ascii="Times New Roman" w:hAnsi="Times New Roman" w:eastAsia="宋体"/>
          <w:b/>
          <w:sz w:val="24"/>
        </w:rPr>
        <w:t>三、本册件型用法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  <w:t>衔接件：初升高铺垫，不区分难度、全部必会，题号块为两段式「（衔接必会·卡壳看答案）」。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  <w:t>知识清单：〔基〕条目学完才能做题；〔进〕条目是本章各题型常识/结论汇总，必须先做题再回看。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  <w:t>讲练件：按教材节序由易到难装配，题型通式句在该组首题前（【编注】起段）；讲部「方法讲解｜主题」置于其题型组之前。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24"/>
        </w:rPr>
        <w:t>部分封面：每部分（同一章同一种产出的全部文件）开头一页，标注该章全部部分与本部分统计——翻书定位用。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/>
          <w:sz w:val="24"/>
        </w:rPr>
        <w:t>装订组合方案：</w:t>
      </w:r>
      <w:r>
        <w:rPr>
          <w:rFonts w:ascii="Times New Roman" w:hAnsi="Times New Roman" w:eastAsia="宋体"/>
          <w:b w:val="0"/>
          <w:sz w:val="24"/>
        </w:rPr>
        <w:t>方案A整册装订（配页三件＋各部分各带部分封面）；方案B按件型抽订（全部衔接/全部清单/全部讲练）；方案C分层抽订（分层卷派生后：简单卷/中档卷/冲刺卷各按档抽订成套——分层卷以样册通过后另行派生发放）。</w:t>
      </w:r>
    </w:p>
    <w:p>
      <w:pPr>
        <w:spacing w:before="0" w:after="0" w:line="410" w:lineRule="exact"/>
        <w:jc w:val="left"/>
      </w:pPr>
      <w:r>
        <w:rPr>
          <w:rFonts w:ascii="Times New Roman" w:hAnsi="Times New Roman" w:eastAsia="宋体"/>
          <w:b w:val="0"/>
          <w:sz w:val="18"/>
        </w:rPr>
        <w:t>本册页眉页脚同串：「羿郭工作室·册名 第X章 章名·件型（共N页）·本n/共M本　节号节名　第X页」——件标识随部分独立页码、本号随装订本。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人教B版选必1·使用说明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