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183．（简单·保60%·卡壳看答案）</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184．（简单·保60%·卡壳看答案）</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185．（简单·保60%·卡壳看答案）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187．（中档·保80%·卡壳看答案）</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直角焦点三角形：设焦半径m、n，由定义m−n=6与勾股m²+n²=100联立得mn=32，再等面积½mn=½|F₁F₂|h求高；易错点：P在左支时定义式为n−m=6。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76261" cy="1059092"/>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1676261" cy="10590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188．（中档·保80%·卡壳看答案）</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6408000" cy="4788897"/>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6408000" cy="478889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189．（中档·保80%·卡壳看答案）</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28000" cy="1799609"/>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2628000" cy="17996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190．（中档·保80%·卡壳看答案）</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191．（简单·保60%·卡壳看答案）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192．（中档·保80%·卡壳看答案）</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193．（简单·保60%·卡壳看答案）</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194．（简单·保60%·卡壳看答案）</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196．（中档·保80%·卡壳看答案）</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197．（难·冲100%·卡壳看答案）</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198．（中档·保80%·卡壳看答案）</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199．（简单·保60%·卡壳看答案）</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200．（简单·保60%·卡壳看答案）</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201．（简单·保60%·卡壳看答案）</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202．（中档·保80%·卡壳看答案）</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203．（简单·保60%·卡壳看答案）</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204．（中档·保80%·卡壳看答案）</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205．（难·冲100%·卡壳看答案）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8400" cy="1812991"/>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2138400" cy="1812991"/>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206．（中档·保80%·卡壳看答案）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正六边形内接于以F₁F₂为直径的圆：∠F₁PF₂=90°、∠PF₂F₁=30°，解得|PF₂|=√3c、|PF₁|=c，代入|PF₂|−|PF₁|=2a得e=√3+1；易错点：P在左支，减向勿反。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207．（难·冲100%·卡壳看答案）</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376000" cy="2445882"/>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2376000" cy="24458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376000" cy="2445882"/>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2376000" cy="24458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208．（中档·保80%·卡壳看答案）</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中心对称弦端点连线斜率积定值：由第三定义k₁k₂=e²−1，再用基本不等式k₁+k₂≥2√(k₁k₂)，令2√(e²−1)=2得e=√2；易错点：勿与椭圆的−b²/a²混淆。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209．（中档·保80%·卡壳看答案）</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2167200" cy="2153739"/>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2167200" cy="21537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210．（中档·保80%·卡壳看答案）</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211．（中档·保80%·卡壳看答案）</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212．（简单·保60%·卡壳看答案）</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213．（中档·保80%·卡壳看答案）</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214．（中档·保80%·卡壳看答案）</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073600" cy="144929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2073600" cy="14492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216．（中档·保80%·卡壳看答案）</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217．（中档·保80%·卡壳看答案）</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808800" cy="2172206"/>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3808800" cy="21722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218．（中档·保80%·卡壳看答案）</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219．（简单·保60%·卡壳看答案）</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定点落在定直线上的退化情形：取l为x轴、F为原点，√(x²+y²)=|y|化简得x=0，轨迹为过F垂直于l的直线；易错点：p=0时抛物线无意义。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220．（简单·保60%·卡壳看答案）</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221．（简单·保60%·卡壳看答案）</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222．（简单·保60%·卡壳看答案）</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223．（中档·保80%·卡壳看答案）</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224．（简单·保60%·卡壳看答案）</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225．（中档·保80%·卡壳看答案）</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226．（中档·保80%·卡壳看答案）</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6480000" cy="6122338"/>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6480000" cy="61223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24000" cy="4323857"/>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2124000" cy="43238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227．（中档·保80%·卡壳看答案）</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014800" cy="1755781"/>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5014800" cy="17557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228．（中档·保80%·卡壳看答案）</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229．（中档·保80%·卡壳看答案）</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2016000" cy="1838769"/>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2772000" cy="1864575"/>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2772000" cy="1864575"/>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230．（中档·保80%·卡壳看答案）</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828648" cy="1794361"/>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2952000" cy="3090374"/>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2952000" cy="309037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2808000" cy="2759305"/>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2808000" cy="2759305"/>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231．（中档·保80%·卡壳看答案）</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2054182" cy="1118264"/>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232．（中档·保80%·卡壳看答案）</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2772000" cy="333300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2772000" cy="333300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2340000" cy="2570922"/>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2340000" cy="257092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233．（中档·保80%·卡壳看答案）</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551600" cy="1900710"/>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551600" cy="190071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234．（简单·保60%·卡壳看答案）</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235．（中档·保80%·卡壳看答案）</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236．（中档·保80%·卡壳看答案）</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4000" cy="2574682"/>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844000" cy="25746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718800" cy="1728807"/>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3718800" cy="1728807"/>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4320000" cy="3296185"/>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4320000" cy="329618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240．（中档·保80%·卡壳看答案）</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3492000" cy="2292574"/>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3492000" cy="22925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242．（中档·保80%·卡壳看答案）</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492000" cy="3325714"/>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3492000" cy="3325714"/>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243．（中档·保80%·卡壳看答案）</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244．（中档·保80%·卡壳看答案）</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2592000" cy="2281581"/>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2592000" cy="22815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246．（中档·保80%·卡壳看答案）</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18800" cy="2290181"/>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918800" cy="22901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ind w:leftChars="400"/>
      </w:pPr>
      <w:r>
        <w:rPr>
          <w:b/>
          <w:sz w:val="21"/>
          <w:szCs w:val="21"/>
          <w:shd w:val="clear" w:color="auto" w:fill="C9C9C9"/>
        </w:rPr>
        <w:t xml:space="preserve">2.7.2.12 </w:t>
      </w:r>
      <w:r>
        <w:rPr>
          <w:b/>
          <w:sz w:val="21"/>
          <w:szCs w:val="21"/>
        </w:rPr>
        <w:t xml:space="preserve">方法讲解｜平均性质（大招12·平均性质）</w:t>
      </w:r>
    </w:p>
    <w:p>
      <w:pPr>
        <w:spacing w:before="0" w:after="0" w:line="288" w:lineRule="auto"/>
        <w:ind w:leftChars="400"/>
      </w:pPr>
      <w:r>
        <w:rPr>
          <w:rFonts w:ascii="Times New Roman" w:eastAsia="宋体" w:hAnsi="Times New Roman" w:cs="Times New Roman"/>
          <w:sz w:val="21"/>
          <w:szCs w:val="21"/>
        </w:rPr>
        <w:t>（详见知识清单2.7.2条目53）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 xml:space="preserve">，这样的设法就称为</w:t>
      </w:r>
      <w:r>
        <w:rPr>
          <w:sz w:val="21"/>
        </w:rPr>
        <w:t xml:space="preserve">＿＿</w:t>
      </w:r>
      <w:r>
        <w:rPr>
          <w:sz w:val="21"/>
          <w:shd w:val="clear" w:color="auto" w:fill="C9C9C9"/>
        </w:rPr>
        <w:t xml:space="preserve">反设法</w:t>
      </w:r>
      <w:r>
        <w:rPr>
          <w:sz w:val="21"/>
        </w:rPr>
        <w:t xml:space="preserve">，同时这种设法设出的方程中包含了</w:t>
      </w:r>
      <w:r>
        <w:rPr>
          <w:sz w:val="21"/>
        </w:rPr>
        <w:t xml:space="preserve">＿＿</w:t>
      </w:r>
      <w:r>
        <w:rPr>
          <w:sz w:val="21"/>
          <w:shd w:val="clear" w:color="auto" w:fill="C9C9C9"/>
        </w:rPr>
        <w:t xml:space="preserve">斜率不存在</w:t>
      </w:r>
      <w:r>
        <w:rPr>
          <w:sz w:val="21"/>
        </w:rPr>
        <w:t xml:space="preserve">的情况，能规避分类讨论.</w:t>
      </w:r>
    </w:p>
    <w:p>
      <w:pPr>
        <w:spacing w:before="0" w:after="0" w:line="288" w:lineRule="auto"/>
        <w:ind w:leftChars="400"/>
      </w:pPr>
      <w:r>
        <w:rPr>
          <w:b/>
          <w:sz w:val="21"/>
          <w:szCs w:val="21"/>
          <w:shd w:val="clear" w:color="auto" w:fill="C9C9C9"/>
        </w:rPr>
        <w:t xml:space="preserve">2.7.2.13 </w:t>
      </w:r>
      <w:r>
        <w:rPr>
          <w:b/>
          <w:sz w:val="21"/>
          <w:szCs w:val="21"/>
        </w:rPr>
        <w:t xml:space="preserve">方法讲解｜抛物线结论荟萃（大招28·抛物线结论荟萃）</w:t>
      </w:r>
    </w:p>
    <w:p>
      <w:pPr>
        <w:spacing w:before="0" w:after="0" w:line="288" w:lineRule="auto"/>
        <w:ind w:leftChars="400"/>
      </w:pPr>
      <w:r>
        <w:rPr>
          <w:rFonts w:ascii="Times New Roman" w:eastAsia="宋体" w:hAnsi="Times New Roman" w:cs="Times New Roman"/>
          <w:sz w:val="21"/>
          <w:szCs w:val="21"/>
        </w:rPr>
        <w:t>（详见知识清单2.7.2条目51、52）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1．</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w:r>
        <w:rPr/>
        <w:t xml:space="preserve">＿＿</w:t>
      </w:r>
      <m:oMath>
        <m:sSub>
          <m:sSubPr>
            <m:ctrlPr>
              <w:rPr>
                <w:rFonts w:ascii="Times New Roman" w:hAnsi="Times New Roman"/>
                <w:shd w:val="clear" w:color="auto" w:fill="C9C9C9"/>
              </w:rPr>
            </m:ctrlPr>
          </m:sSubPr>
          <m:e>
            <m:r>
              <w:rPr>
                <w:rFonts w:ascii="Times New Roman" w:hAnsi="Times New Roman" w:cs="Cambria Math"/>
                <w:shd w:val="clear" w:color="auto" w:fill="C9C9C9"/>
              </w:rPr>
              <m:t>x</m:t>
            </m:r>
          </m:e>
          <m:sub>
            <m:r>
              <w:rPr>
                <w:rFonts w:ascii="Times New Roman" w:hAnsi="Times New Roman" w:cs="Cambria Math"/>
                <w:shd w:val="clear" w:color="auto" w:fill="C9C9C9"/>
              </w:rPr>
              <m:t>A</m:t>
            </m:r>
          </m:sub>
        </m:sSub>
        <m:sSub>
          <m:sSubPr>
            <m:ctrlPr>
              <w:rPr>
                <w:rFonts w:ascii="Times New Roman" w:hAnsi="Times New Roman"/>
                <w:shd w:val="clear" w:color="auto" w:fill="C9C9C9"/>
              </w:rPr>
            </m:ctrlPr>
          </m:sSubPr>
          <m:e>
            <m:r>
              <w:rPr>
                <w:rFonts w:ascii="Times New Roman" w:hAnsi="Times New Roman" w:cs="Cambria Math"/>
                <w:shd w:val="clear" w:color="auto" w:fill="C9C9C9"/>
              </w:rPr>
              <m:t>x</m:t>
            </m:r>
          </m:e>
          <m:sub>
            <m:r>
              <w:rPr>
                <w:rFonts w:ascii="Times New Roman" w:hAnsi="Times New Roman" w:cs="Cambria Math"/>
                <w:shd w:val="clear" w:color="auto" w:fill="C9C9C9"/>
              </w:rPr>
              <m:t>B</m:t>
            </m:r>
          </m:sub>
        </m:sSub>
        <m:r>
          <w:rPr>
            <w:rFonts w:ascii="Times New Roman" w:hAnsi="Times New Roman" w:cs="Cambria Math"/>
            <w:shd w:val="clear" w:color="auto" w:fill="C9C9C9"/>
          </w:rPr>
          <m:t>=</m:t>
        </m:r>
        <m:sSup>
          <m:sSupPr>
            <m:ctrlPr>
              <w:rPr>
                <w:rFonts w:ascii="Times New Roman" w:hAnsi="Times New Roman"/>
                <w:shd w:val="clear" w:color="auto" w:fill="C9C9C9"/>
              </w:rPr>
            </m:ctrlPr>
          </m:sSupPr>
          <m:e>
            <m:r>
              <w:rPr>
                <w:rFonts w:ascii="Times New Roman" w:hAnsi="Times New Roman" w:cs="Cambria Math"/>
                <w:shd w:val="clear" w:color="auto" w:fill="C9C9C9"/>
              </w:rPr>
              <m:t>m</m:t>
            </m:r>
          </m:e>
          <m:sup>
            <m:r>
              <w:rPr>
                <w:rFonts w:ascii="Times New Roman" w:hAnsi="Times New Roman" w:cs="Cambria Math"/>
                <w:shd w:val="clear" w:color="auto" w:fill="C9C9C9"/>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479600" cy="1418586"/>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479600" cy="141858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4140000" cy="888218"/>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4140000" cy="8882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00" cy="2179662"/>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666800" cy="217966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248．（中档·保80%·卡壳看答案）</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过焦点直线与以焦点为圆心的圆交于四点：圆心即焦点、半径1，由|AF|=x₁+1得|AB|=x₁、|CD|=x₂，代入平均性质x₁x₂=m²=1；易错点：线段加减勿错位。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925200" cy="1284324"/>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925200" cy="128432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249．（中档·保80%·卡壳看答案）</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直线恒过定点M(0,2)：由平均性质y₁y₂=m²=4，又x₁x₂=−√(4p²y₁y₂)=−8，故OA·OB=x₁x₂+y₁y₂=−4；易错点：A、B分居y轴两侧，x₁x₂取负。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250．（中档·保80%·卡壳看答案）</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46800" cy="2239098"/>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746800" cy="223909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3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（位于229–433页·共205页）</w:t>
    </w:r>
  </w:p>
</w:ftr>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