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人教版选必3 第1章 分子动理论·转投暂存（1题）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来源章：人教版选必1 第4章 光（讲和练·例题54，P1148-P1185）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【原位置】讲和练·例题54（P1148-P1185）　【删除原因】超纲：需用到「用油膜法估测油酸分子的大小」——人教版选择性必修第三册第一章第2节；已转投「人教版选必3 第1章 分子动理论·转投暂存」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54．某同学利用如图甲所示的装置测量某种单色光的波长。实验时，光源正常发光，调整仪器从目镜中可以观察到干涉条纹。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5276800" cy="816732"/>
            <wp:docPr id="100289" name="" descr="@@@b1489c3b-71df-462f-8b25-651a3da0f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1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(1)该同学在测量相邻亮条纹的间距△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时，并不是直接测量某相邻亮条纹的间距，而是先测量多个亮条纹的间距再求出Δ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。下列测量采用了类似方法的有___________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A．“探究两个互成角度的力的合成规律”的实验中合力的测量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B．“探究弹簧弹力与形变量的关系”的实验中弹簧的形变量的测量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C．“用油膜法估测油酸分子的大小”的实验中1滴油酸酒精溶液体积的测量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该同学转动手轮，使测量头的分划板中心刻线与某亮纹中心对齐，将该亮纹定为第1条亮纹，此时手轮上的示数如图乙所示：然后同方向转动手轮，使分划板中心刻线与第6条亮纹中心对齐，记下此时手轮上的示数，如图丙所示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mm，求得相邻亮纹的间距△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mm（计算结果保留三位有效数字）。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(3)若相邻亮条纹的间距为Δ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、单缝与屏的距离为L</w:t>
      </w:r>
      <w:r>
        <w:rPr>
          <w:rFonts w:ascii="Times New Roman" w:eastAsia="宋体" w:hAnsi="Times New Roman" w:cs="Times New Roman"/>
          <w:i/>
          <w:sz w:val="21"/>
          <w:szCs w:val="21"/>
        </w:rPr>
        <w:t>₁</w:t>
      </w:r>
      <w:r>
        <w:rPr>
          <w:rFonts w:ascii="Times New Roman" w:hAnsi="Times New Roman" w:eastAsia="宋体" w:cs="Times New Roman"/>
          <w:sz w:val="21"/>
          <w:szCs w:val="21"/>
        </w:rPr>
        <w:t>，双缝与屏的距离为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₂，单缝宽为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₁，双缝间距为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₂，则光的波长用上述部分物理量可表示为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宋体" w:hAnsi="Times New Roman" w:cs="Times New Roman"/>
          <w:b w:val="0"/>
          <w:sz w:val="21"/>
          <w:szCs w:val="21"/>
        </w:rPr>
        <w:t>___________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(4)关于此实验，下面几种说法正确的是___________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A．仅撤掉滤光片，光屏仍能观察到干涉图样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B．仅将单缝移近双缝，光屏上观察到的条纹数变少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C．单、双缝相平行，两缝与光屏上的条纹相垂直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D．仅撤掉双缝，在光屏上可能观察到明暗相间的条纹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【答案】(1)C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     11.652     2.28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(4)AD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【难度】0.65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【知识点】用双缝干涉实验测量光的波长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【详解】（1）该同学在测量相邻亮条纹的间距△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时，并不是直接测量某相邻亮条纹的间距，而是先测量多个亮条纹的间距再求出Δ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。使用了积累法，减小了测量误差，“用油膜法估测油酸分子的大小”的实验中1滴油酸酒精溶液体积的测量，同样使用了积累法，减小了测量误差。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故选C。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（2）[1]螺旋测微器的最小分度值为0.01mm，图乙的读数为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26.0</m:t>
        </m:r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0.01</m:t>
        </m:r>
        <m:r>
          <m:rPr>
            <m:nor/>
          </m:rPr>
          <w:rPr>
            <w:rFonts w:ascii="Cambria Math" w:eastAsia="宋体" w:hAnsi="Cambria Math" w:cs="Cambria Math"/>
          </w:rPr>
          <m:t>mm=0</m:t>
        </m:r>
        <m:r>
          <m:rPr>
            <m:nor/>
          </m:rPr>
          <w:rPr>
            <w:rFonts w:ascii="Cambria Math" w:eastAsia="宋体" w:hAnsi="Cambria Math" w:cs="Cambria Math"/>
          </w:rPr>
          <m:t>.260mm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图丙的读数为</w:t>
      </w:r>
      <m:oMath>
        <m:r>
          <w:rPr>
            <w:rFonts w:ascii="Cambria Math" w:eastAsia="宋体" w:hAnsi="Cambria Math" w:cs="Cambria Math"/>
          </w:rPr>
          <m:t>11.5</m:t>
        </m:r>
        <m:r>
          <m:rPr>
            <m:nor/>
          </m:rPr>
          <w:rPr>
            <w:rFonts w:ascii="Cambria Math" w:eastAsia="宋体" w:hAnsi="Cambria Math" w:cs="Cambria Math"/>
          </w:rPr>
          <m:t>mm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15.2</m:t>
        </m:r>
        <m:r>
          <w:rPr>
            <w:rFonts w:ascii="Cambria Math" w:eastAsia="宋体" w:hAnsi="Cambria Math" w:cs="Cambria Math"/>
          </w:rPr>
          <m:t>×</m:t>
        </m:r>
        <m:r>
          <w:rPr>
            <w:rFonts w:ascii="Cambria Math" w:eastAsia="宋体" w:hAnsi="Cambria Math" w:cs="Cambria Math"/>
          </w:rPr>
          <m:t>0.01</m:t>
        </m:r>
        <m:r>
          <m:rPr>
            <m:nor/>
          </m:rPr>
          <w:rPr>
            <w:rFonts w:ascii="Cambria Math" w:eastAsia="宋体" w:hAnsi="Cambria Math" w:cs="Cambria Math"/>
          </w:rPr>
          <m:t>mm=11</m:t>
        </m:r>
        <m:r>
          <m:rPr>
            <m:nor/>
          </m:rPr>
          <w:rPr>
            <w:rFonts w:ascii="Cambria Math" w:eastAsia="宋体" w:hAnsi="Cambria Math" w:cs="Cambria Math"/>
          </w:rPr>
          <m:t>.652mm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[2]相邻亮纹的间距为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a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11.652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0.260</m:t>
            </m:r>
          </m:num>
          <m:den>
            <m:r>
              <w:rPr>
                <w:rFonts w:ascii="Cambria Math" w:eastAsia="宋体" w:hAnsi="Cambria Math" w:cs="Cambria Math"/>
              </w:rPr>
              <m:t>6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m:rPr>
            <m:nor/>
          </m:rPr>
          <w:rPr>
            <w:rFonts w:ascii="Cambria Math" w:eastAsia="宋体" w:hAnsi="Cambria Math" w:cs="Cambria Math"/>
          </w:rPr>
          <m:t>mm=2</m:t>
        </m:r>
        <m:r>
          <m:rPr>
            <m:nor/>
          </m:rPr>
          <w:rPr>
            <w:rFonts w:ascii="Cambria Math" w:eastAsia="宋体" w:hAnsi="Cambria Math" w:cs="Cambria Math"/>
          </w:rPr>
          <m:t>.28mm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（3）根据干涉条纹间距公式有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λ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整理得</w:t>
      </w:r>
      <m:oMath>
        <m:r>
          <w:rPr>
            <w:rFonts w:ascii="Cambria Math" w:eastAsia="宋体" w:hAnsi="Cambria Math" w:cs="Cambria Math"/>
          </w:rPr>
          <m:t>λ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nor/>
              </m:rPr>
              <w:rPr>
                <w:rFonts w:ascii="Cambria Math" w:eastAsia="宋体" w:hAnsi="Cambria Math" w:cs="Cambria Math"/>
              </w:rPr>
              <m:t>Δ</m:t>
            </m:r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⋅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（4）A．仅撤掉滤光片，通过单缝和双缝的是复色光，满足干涉条件，光屏仍能观察到干涉图样，故A正确；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B．根据干涉条纹间距公式有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L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λ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光屏上观察到的条纹数与单缝移和双缝距离无关，故B错误；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C．单、双缝相平行，两缝与光屏上的条纹平行，故C错误；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D．仅撤掉双缝，光通过单缝发生衍射，在光屏上能观察到明暗相间的条纹，故D正确。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故选AD。</w:t>
      </w:r>
    </w:p>
    <w:p>
      <w:pPr>
        <w:spacing w:before="0" w:after="0" w:line="300" w:lineRule="auto"/>
        <w:jc w:val="left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第1章·转投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2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人教版选必3 第1章 分子动理论·转投暂存（1题）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