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strike w:val="0"/>
          <w:kern w:val="0"/>
          <w:u w:val="none"/>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strike w:val="0"/>
          <w:kern w:val="0"/>
          <w:u w:val="none"/>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strike w:val="0"/>
          <w:kern w:val="0"/>
          <w:u w:val="none"/>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strike w:val="0"/>
          <w:kern w:val="0"/>
          <w:u w:val="none"/>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C．电动势的最大值是50V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B．两个电流表示数都减小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strike w:val="0"/>
          <w:kern w:val="0"/>
          <w:u w:val="none"/>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C．升压变压器副线圈的电压为15000V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B．输电的效率为88%</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pgSz w:w="11906" w:h="16838"/>
      <w:pgMar w:top="720" w:right="720" w:bottom="720" w:left="720" w:header="567" w:footer="567" w:gutter="0"/>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