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 xml:space="preserve">平行线分线段成比例定理</w:t>
      </w:r>
    </w:p>
    <w:p>
      <w:r>
        <w:t xml:space="preserve">5题：-1～5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3/7</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 xml:space="preserve">射影定理</w:t>
      </w:r>
    </w:p>
    <w:p>
      <w:r>
        <w:t xml:space="preserve">6题：-6～11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4/5</w:t>
      </w:r>
      <w:r>
        <w:rPr>
          <w:sz w:val="24"/>
          <w:szCs w:val="24"/>
        </w:rPr>
        <w:t xml:space="preserve">；</w:t>
      </w:r>
      <w:r>
        <w:rPr>
          <w:sz w:val="24"/>
          <w:szCs w:val="24"/>
          <w:shd w:val="clear" w:color="auto" w:fill="C9C9C9"/>
        </w:rPr>
        <w:t xml:space="preserve">16/9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(1)30°</w:t>
      </w:r>
      <w:r>
        <w:rPr>
          <w:sz w:val="24"/>
          <w:szCs w:val="24"/>
        </w:rPr>
        <w:t xml:space="preserve">；</w:t>
      </w:r>
      <w:r>
        <w:rPr>
          <w:sz w:val="24"/>
          <w:szCs w:val="24"/>
          <w:shd w:val="clear" w:color="auto" w:fill="C9C9C9"/>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B</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32.64</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 xml:space="preserve">，</w:t>
      </w:r>
      <m:oMath>
        <m:r>
          <w:rPr>
            <w:rFonts w:cs="Cambria Math"/>
            <w:shd w:val="clear" w:color="auto" w:fill="C9C9C9"/>
          </w:rPr>
          <m:t>12cm</m:t>
        </m:r>
      </m:oMath>
      <w:r>
        <w:rPr>
          <w:sz w:val="24"/>
          <w:szCs w:val="24"/>
          <w:shd w:val="clear" w:color="auto" w:fill="C9C9C9"/>
        </w:rPr>
        <w:t xml:space="preserve">，</w:t>
      </w:r>
      <m:oMath>
        <m:r>
          <w:rPr>
            <w:rFonts w:cs="Cambria Math"/>
            <w:shd w:val="clear" w:color="auto" w:fill="C9C9C9"/>
          </w:rPr>
          <m:t>16cm</m:t>
        </m:r>
      </m:oMath>
      <w:r>
        <w:rPr>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 xml:space="preserve">三角形的内角与外角平分线定理</w:t>
      </w:r>
    </w:p>
    <w:p>
      <w:r>
        <w:t xml:space="preserve">4题：-12～15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35/9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 xml:space="preserve">；</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 xml:space="preserve">，理由见解析</w:t>
      </w:r>
      <w:r>
        <w:rPr>
          <w:sz w:val="24"/>
          <w:szCs w:val="24"/>
          <w:shd w:val="clear" w:color="auto" w:fill="C9C9C9"/>
        </w:rPr>
        <w:t xml:space="preserve">(2)</w:t>
      </w:r>
      <m:oMath>
        <m:r>
          <w:rPr>
            <w:rFonts w:cs="Cambria Math"/>
            <w:shd w:val="clear" w:color="auto" w:fill="C9C9C9"/>
          </w:rPr>
          <m:t>∠BOC=2∠BAC</m:t>
        </m:r>
      </m:oMath>
      <w:r>
        <w:rPr>
          <w:sz w:val="24"/>
          <w:szCs w:val="24"/>
          <w:shd w:val="clear" w:color="auto" w:fill="C9C9C9"/>
        </w:rPr>
        <w:t xml:space="preserve">，理由见解析</w:t>
      </w:r>
      <w:r>
        <w:rPr>
          <w:sz w:val="24"/>
          <w:szCs w:val="24"/>
          <w:shd w:val="clear" w:color="auto" w:fill="C9C9C9"/>
        </w:rPr>
        <w:t xml:space="preserve">(3)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 xml:space="preserve">；</w:t>
      </w:r>
      <w:r>
        <w:rPr>
          <w:sz w:val="24"/>
          <w:szCs w:val="24"/>
          <w:shd w:val="clear" w:color="auto" w:fill="C9C9C9"/>
        </w:rPr>
        <w:t xml:space="preserve">/2</w:t>
        <m:oMath>
          <m:r>
            <m:t>(2)r=√2</m:t>
          </m:r>
        </m:oMath>
      </w:r>
      <w:r>
        <w:rPr>
          <w:sz w:val="24"/>
          <w:szCs w:val="24"/>
        </w:rPr>
        <w:t xml:space="preserve">；</w:t>
      </w:r>
      <w:r>
        <w:rPr>
          <w:sz w:val="24"/>
          <w:szCs w:val="24"/>
          <w:shd w:val="clear" w:color="auto" w:fill="C9C9C9"/>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√5</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45°</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