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center"/>
        <w:textAlignment w:val="center"/>
      </w:pPr>
      <w:r>
        <w:rPr>
          <w:b/>
          <w:sz w:val="32"/>
        </w:rPr>
        <w:t>第一章</w:t>
      </w:r>
      <w:r>
        <w:rPr>
          <w:b/>
          <w:sz w:val="32"/>
        </w:rPr>
        <w:t xml:space="preserve"> </w:t>
      </w:r>
      <w:r>
        <w:rPr>
          <w:b/>
          <w:sz w:val="32"/>
        </w:rPr>
        <w:t>动量守恒定律</w:t>
      </w:r>
    </w:p>
    <w:p w:rsidR="00EF035E" w:rsidRPr="00043B54"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09571"/>
            <wp:docPr id="100003" name="" descr="@@@3ccf4de552a242e296dbe9fbeea3d5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09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095875" cy="7581900"/>
            <wp:docPr id="100005" name="" descr="@@@eb1ede37808e40e4abe726503ea6a8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7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09571"/>
            <wp:docPr id="100007" name="" descr="@@@bc7ded58179d4a168d67a01ff9a087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09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一、动量及动量的变化量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1．动量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（1）定义：物体的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的乘积。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（2）公式：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，单位：kg·m/s。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（3）动量的矢量性：动量是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（填“矢”或“标”）量，方向与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相同，运算遵循平行四边形定则。</w: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2．动量的变化量Δ</w:t>
      </w:r>
      <w:r>
        <w:rPr>
          <w:rFonts w:ascii="Times New Roman" w:eastAsia="Times New Roman" w:hAnsi="Times New Roman" w:cs="Times New Roman"/>
          <w:i/>
          <w:sz w:val="21"/>
        </w:rPr>
        <w:t>p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(1)表达式：Δ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-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，其中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为初动量，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为末动量。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(2)方向：动量变化量为矢量，与速度变化的方向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(填“相同”或“相反”)。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b/>
          <w:sz w:val="24"/>
        </w:rPr>
        <w:t>二、动量定理的理解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3．冲量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(1)定义：力与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的乘积。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(2)定义式：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(3)物理意义：冲量是反映力的作用对时间的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的物理量，力越大，作用时间越长，冲量就越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(4)单位：在国际单位制中，冲量的单位是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，符号为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(5)矢量性：冲量是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(填“矢”或“标”)量。如果力的方向恒定，则冲量的方向与力的方向相同。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4．动量定理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(1)内容：物体在一个过程中所受力的冲量等于它在这个过程始末的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(2)表达式：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或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′-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)=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b/>
          <w:sz w:val="24"/>
        </w:rPr>
        <w:t>三、动量守恒定律的理解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5．系统、内力与外力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（1）系统：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相互作用的物体构成的一个力学系统。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（2）内力：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物体间的作用力。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（3）外力：系统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的物体施加给系统内物体的力。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6．动量守恒定律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（1）内容：如果一个系统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，或者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，这个系统的总动量保持不变。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（2）表达式：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＋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（作用前后总动量相等）。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  <w:u w:val="single"/>
        </w:rPr>
      </w:pPr>
      <w:r>
        <w:rPr>
          <w:sz w:val="21"/>
        </w:rPr>
        <w:t>（3）适用条件：系统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或者所受外力的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  <w:u w:val="single"/>
        </w:rPr>
        <w:t>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（4）普适性：动量守恒定律既适用于低速物体，也适用于高速物体。既适用于宏观物体，也适用于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物体。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b/>
          <w:sz w:val="24"/>
        </w:rPr>
        <w:t>四、动量守恒定律的基本应用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动量守恒的条件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(1)理想条件：系统不受外力。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(2)实际条件：系统受合外力为零。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(3)近似条件：系统内力远大于外力，即外力可以忽略。例如在两物体碰撞，炮弹、火箭等突然炸裂过程等可用动量守恒来解释。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b/>
          <w:sz w:val="24"/>
        </w:rPr>
        <w:t>五、弹性碰撞和非弹性碰撞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1.碰撞的特点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(1)时间特点：在碰撞现象中，相互作用的时间很短。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(2)相互作用力的特点：在相互作用过程中，相互作用力先是急剧增大，然后急剧减小，平均作用力很大。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(3)动量守恒条件的特点：系统的内力远远大于外力，所以系统即使所受合外力不为零，外力也可以忽略，系统的总动量守恒。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(4)位移特点：碰撞过程是在一瞬间发生的，时间极短，在物体发生碰撞的瞬间，可忽略物体的位移，认为物体在碰撞前后仍在同一位置。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(5)能量特点：碰撞前总动能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k</w:t>
      </w:r>
      <w:r>
        <w:rPr>
          <w:sz w:val="21"/>
        </w:rPr>
        <w:t>与碰撞后总动能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k</w:t>
      </w:r>
      <w:r>
        <w:rPr>
          <w:sz w:val="21"/>
        </w:rPr>
        <w:t>′，满足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k</w:t>
      </w:r>
      <w:r>
        <w:rPr>
          <w:sz w:val="21"/>
        </w:rPr>
        <w:t>≥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k</w:t>
      </w:r>
      <w:r>
        <w:rPr>
          <w:sz w:val="21"/>
        </w:rPr>
        <w:t>′。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7．碰撞的分类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(1)弹性碰撞：系统在碰撞前后动能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(2)非弹性碰撞：系统在碰撞后动能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b/>
          <w:sz w:val="24"/>
        </w:rPr>
        <w:t>六、反冲现象的理解与应用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8．反冲现象的定义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一个静止的物体在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的作用下分裂为两部分，一部分向某个方向运动，另一部分必然向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方向运动的现象。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9．反冲现象规律：反冲运动中，相互作用力一般较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，满足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10．反冲现象的应用及防止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（1）应用：农田、园林的喷灌装置利用反冲使水从喷口喷出时，一边喷水一边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（2）防止：用枪射击时，由于枪身的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会影响射击的准确性，所以用枪射击时要把枪身抵在肩部，以减少反冲的影响。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b/>
          <w:sz w:val="24"/>
        </w:rPr>
        <w:t>七、火箭的工作原理分析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1.火箭的主要用途：火箭作为运载工具，例如发射探测仪器、常规弹头和核弹头、人造卫星和宇宙飞船。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  <w:sectPr>
          <w:footerReference w:type="even" r:id="rId9"/>
          <w:footerReference w:type="default" r:id="rId10"/>
          <w:pgSz w:w="11907" w:h="16839" w:code="9"/>
          <w:pgMar w:top="1440" w:right="1800" w:bottom="1440" w:left="1800" w:header="851" w:footer="425" w:gutter="0"/>
          <w:cols w:num="1" w:sep="1" w:space="425"/>
          <w:docGrid w:type="lines" w:linePitch="312"/>
        </w:sectPr>
      </w:pPr>
      <w:r>
        <w:rPr>
          <w:sz w:val="21"/>
        </w:rPr>
        <w:t>2.火箭的工作原理：火箭是利用燃气高速喷发时的反冲运动，遵循动量守恒定律。</w:t>
      </w:r>
    </w:p>
    <w:p w:rsidR="00EF035E" w:rsidRPr="00043B54" w14:textId="71D3C5F8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 w:rsidRPr="00043B54">
        <w:rPr>
          <w:rFonts w:ascii="宋体" w:eastAsia="宋体" w:hAnsi="宋体" w:cs="宋体"/>
          <w:b/>
          <w:i w:val="0"/>
          <w:color w:val="000000"/>
          <w:sz w:val="21"/>
        </w:rPr>
        <w:t>《第一章 动量守恒定律 知识清单》参考答案：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1．     质量     速度     </w:t>
      </w:r>
      <w:r>
        <w:rPr>
          <w:rFonts w:ascii="Times New Roman" w:eastAsia="Times New Roman" w:hAnsi="Times New Roman" w:cs="Times New Roman"/>
          <w:i/>
          <w:sz w:val="21"/>
        </w:rPr>
        <w:t>mv</w:t>
      </w:r>
      <w:r>
        <w:rPr>
          <w:sz w:val="21"/>
        </w:rPr>
        <w:t xml:space="preserve">     矢     速度的方向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【知识点】动量的定义、单位和矢量性、计算物体的动量及动量的变化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【详解】略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2．相同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【知识点】动量的定义、单位和矢量性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【详解】根据</w:t>
      </w:r>
    </w:p>
    <w:p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a63d2876108b68ca78c7da1bab126db8" style="width:44.86pt;height:14.07pt" o:ole="">
            <v:imagedata r:id="rId11" o:title="eqIda63d2876108b68ca78c7da1bab126db8"/>
          </v:shape>
          <o:OLEObject Type="Embed" ProgID="Equation.DSMT4" ShapeID="_x0000_i1025" DrawAspect="Content" ObjectID="_1" r:id="rId1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可知动量变化量为矢量，与速度变化的方向相同。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3．(1)力的作用时间</w: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(2)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Δ</w:t>
      </w:r>
      <w:r>
        <w:rPr>
          <w:rFonts w:ascii="Times New Roman" w:eastAsia="Times New Roman" w:hAnsi="Times New Roman" w:cs="Times New Roman"/>
          <w:i/>
          <w:sz w:val="21"/>
        </w:rPr>
        <w:t>t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     累积效应     大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     牛秒     N·s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(5)矢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【知识点】冲量的定义、单位和矢量性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【详解】（1）冲量的定义：力与力的作用时间的乘积。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（2）冲量的定义式：</w:t>
      </w:r>
      <w:r>
        <w:object>
          <v:shape id="_x0000_i1026" type="#_x0000_t75" alt="eqIdf8d2dc8d2a102dc05e7401fa7a54cea5" style="width:36.94pt;height:12.14pt" o:ole="">
            <v:imagedata r:id="rId13" o:title="eqIdf8d2dc8d2a102dc05e7401fa7a54cea5"/>
          </v:shape>
          <o:OLEObject Type="Embed" ProgID="Equation.DSMT4" ShapeID="_x0000_i1026" DrawAspect="Content" ObjectID="_2" r:id="rId1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（3）[1][2]冲量的物理意义：冲量是反映力的作用对时间的累积效应的物理量，力越大，作用时间越长，冲量就越大。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（4）[1][2]冲量的单位：在国际单位制中，冲量的单位是牛秒，符号为N·s。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（5）矢量性：冲量是矢量。如果力的方向恒定，则冲量的方向与力的方向相同。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4．(1)动量变化量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(2)     </w:t>
      </w:r>
      <w:r>
        <w:object>
          <v:shape id="_x0000_i1027" type="#_x0000_t75" alt="eqIdf095ca4bd95dad29a61666829f784322" style="width:29.03pt;height:14.07pt" o:ole="">
            <v:imagedata r:id="rId15" o:title="eqIdf095ca4bd95dad29a61666829f784322"/>
          </v:shape>
          <o:OLEObject Type="Embed" ProgID="Equation.DSMT4" ShapeID="_x0000_i1027" DrawAspect="Content" ObjectID="_3" r:id="rId16"/>
        </w:object>
      </w:r>
      <w:r>
        <w:rPr>
          <w:sz w:val="21"/>
        </w:rPr>
        <w:t xml:space="preserve">     </w:t>
      </w:r>
      <w:r>
        <w:object>
          <v:shape id="_x0000_i1028" type="#_x0000_t75" alt="eqId2d422b7a39d6c380b224793d0674e9f1" style="width:39.57pt;height:12.31pt" o:ole="">
            <v:imagedata r:id="rId17" o:title="eqId2d422b7a39d6c380b224793d0674e9f1"/>
          </v:shape>
          <o:OLEObject Type="Embed" ProgID="Equation.DSMT4" ShapeID="_x0000_i1028" DrawAspect="Content" ObjectID="_4" r:id="rId1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【知识点】动量定理的内容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【详解】（1）略。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（2）略。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     两个（或多个）     系统中     以外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【知识点】判断系统动量是否守恒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【详解】略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6．     不受外力     所受外力的矢量和为0     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′＋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′     不受外力     矢量和为零     微观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【知识点】动量守恒定律的内容、应用范围和推导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【详解】略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7．(1)不变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(2)减少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【知识点】动量守恒定律的初步应用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【详解】（1）弹性碰撞：系统在碰撞前后动能不变。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（2）非弹性碰撞：系统在碰撞后动能减少。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     内力     相反的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【知识点】反冲现象中的动量守恒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【详解】略。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     大     动量守恒定律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【知识点】反冲现象中的动量守恒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【详解】略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10．     旋转     反冲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【知识点】反冲现象中的动量守恒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【详解】略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sectPr>
      <w:headerReference w:type="even" r:id="rId19"/>
      <w:headerReference w:type="default" r:id="rId20"/>
      <w:footerReference w:type="even" r:id="rId21"/>
      <w:footerReference w:type="default" r:id="rId22"/>
      <w:pgSz w:w="11907" w:h="16839" w:code="9"/>
      <w:pgMar w:top="1440" w:right="1800" w:bottom="1440" w:left="1800" w:header="851" w:footer="425" w:gutter="0"/>
      <w:pgNumType w:start="1"/>
      <w:cols w:num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64153B" w:rsidP="0064153B">
    <w:pPr>
      <w:jc w:val="center"/>
    </w:pPr>
    <w:r>
      <w:rPr>
        <w:rFonts w:hint="eastAsia"/>
      </w:rPr>
      <w:t>答案第</w:t>
    </w:r>
    <w:r w:rsidR="00B47A88">
      <w:fldChar w:fldCharType="begin"/>
    </w:r>
    <w:r w:rsidR="00065CD2"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 w:rsidR="00FA429B">
      <w:rPr>
        <w:noProof/>
      </w:rPr>
      <w:instrText>1</w:instrText>
    </w:r>
    <w:r w:rsidR="00FA429B">
      <w:rPr>
        <w:noProof/>
      </w:rPr>
      <w:fldChar w:fldCharType="end"/>
    </w:r>
    <w:r w:rsidR="00065CD2">
      <w:instrText xml:space="preserve"> </w:instrText>
    </w:r>
    <w:r w:rsidR="00B47A88">
      <w:fldChar w:fldCharType="separate"/>
    </w:r>
    <w:r w:rsidR="00FA429B">
      <w:rPr>
        <w:noProof/>
      </w:rPr>
      <w:t>1</w:t>
    </w:r>
    <w:r w:rsidR="00B47A88">
      <w:fldChar w:fldCharType="end"/>
    </w:r>
    <w:r>
      <w:rPr>
        <w:rFonts w:hint="eastAsia"/>
      </w:rPr>
      <w:t>页，共</w:t>
    </w:r>
    <w:r w:rsidR="00B47A88">
      <w:fldChar w:fldCharType="begin"/>
    </w:r>
    <w:r w:rsidR="003F38F2">
      <w:instrText xml:space="preserve"> </w:instrText>
    </w:r>
    <w:r w:rsidR="003F38F2"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 w:rsidR="00FA429B">
      <w:rPr>
        <w:noProof/>
      </w:rPr>
      <w:instrText>2</w:instrText>
    </w:r>
    <w:r w:rsidR="00FA429B">
      <w:rPr>
        <w:noProof/>
      </w:rPr>
      <w:fldChar w:fldCharType="end"/>
    </w:r>
    <w:r w:rsidR="003F38F2">
      <w:instrText xml:space="preserve"> </w:instrText>
    </w:r>
    <w:r w:rsidR="00B47A88">
      <w:fldChar w:fldCharType="separate"/>
    </w:r>
    <w:r w:rsidR="00FA429B">
      <w:rPr>
        <w:noProof/>
      </w:rPr>
      <w:t>2</w:t>
    </w:r>
    <w:r w:rsidR="00B47A88">
      <w:fldChar w:fldCharType="end"/>
    </w:r>
    <w:r>
      <w:rPr>
        <w:rFonts w:hint="eastAsia"/>
      </w:rPr>
      <w:t>页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64153B" w:rsidP="0064153B">
    <w:pPr>
      <w:jc w:val="center"/>
    </w:pPr>
    <w:r>
      <w:rPr>
        <w:rFonts w:hint="eastAsia"/>
      </w:rPr>
      <w:t>答案第</w:t>
    </w:r>
    <w:r w:rsidR="00B47A88">
      <w:fldChar w:fldCharType="begin"/>
    </w:r>
    <w:r w:rsidR="00065CD2"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 w:rsidR="00FA429B">
      <w:rPr>
        <w:noProof/>
      </w:rPr>
      <w:instrText>1</w:instrText>
    </w:r>
    <w:r w:rsidR="00FA429B">
      <w:rPr>
        <w:noProof/>
      </w:rPr>
      <w:fldChar w:fldCharType="end"/>
    </w:r>
    <w:r w:rsidR="00065CD2">
      <w:instrText xml:space="preserve"> </w:instrText>
    </w:r>
    <w:r w:rsidR="00B47A88">
      <w:fldChar w:fldCharType="separate"/>
    </w:r>
    <w:r w:rsidR="00FA429B">
      <w:rPr>
        <w:noProof/>
      </w:rPr>
      <w:t>1</w:t>
    </w:r>
    <w:r w:rsidR="00B47A88">
      <w:fldChar w:fldCharType="end"/>
    </w:r>
    <w:r>
      <w:rPr>
        <w:rFonts w:hint="eastAsia"/>
      </w:rPr>
      <w:t>页，共</w:t>
    </w:r>
    <w:r w:rsidR="00B47A88">
      <w:fldChar w:fldCharType="begin"/>
    </w:r>
    <w:r w:rsidR="003F38F2">
      <w:instrText xml:space="preserve"> </w:instrText>
    </w:r>
    <w:r w:rsidR="003F38F2"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 w:rsidR="00FA429B">
      <w:rPr>
        <w:noProof/>
      </w:rPr>
      <w:instrText>2</w:instrText>
    </w:r>
    <w:r w:rsidR="00FA429B">
      <w:rPr>
        <w:noProof/>
      </w:rPr>
      <w:fldChar w:fldCharType="end"/>
    </w:r>
    <w:r w:rsidR="003F38F2">
      <w:instrText xml:space="preserve"> </w:instrText>
    </w:r>
    <w:r w:rsidR="00B47A88">
      <w:fldChar w:fldCharType="separate"/>
    </w:r>
    <w:r w:rsidR="00FA429B">
      <w:rPr>
        <w:noProof/>
      </w:rPr>
      <w:t>2</w:t>
    </w:r>
    <w:r w:rsidR="00B47A88">
      <w:fldChar w:fldCharType="end"/>
    </w:r>
    <w:r>
      <w:rPr>
        <w:rFonts w:hint="eastAsia"/>
      </w:rPr>
      <w:t>页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0232A6" w:rsidP="0064153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0232A6" w:rsidP="0064153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232A6"/>
    <w:rsid w:val="00043B54"/>
    <w:rsid w:val="00065CD2"/>
    <w:rsid w:val="001D7A06"/>
    <w:rsid w:val="00284433"/>
    <w:rsid w:val="002A1EC6"/>
    <w:rsid w:val="002E035E"/>
    <w:rsid w:val="003F38F2"/>
    <w:rsid w:val="004E46D8"/>
    <w:rsid w:val="00537201"/>
    <w:rsid w:val="0064153B"/>
    <w:rsid w:val="006A4C40"/>
    <w:rsid w:val="006B16C5"/>
    <w:rsid w:val="00776133"/>
    <w:rsid w:val="00811C76"/>
    <w:rsid w:val="00855687"/>
    <w:rsid w:val="008C07DE"/>
    <w:rsid w:val="009E611B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  <w:rsid w:val="00FA429B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2.xml" /><Relationship Id="rId11" Type="http://schemas.openxmlformats.org/officeDocument/2006/relationships/image" Target="media/image5.wmf" /><Relationship Id="rId12" Type="http://schemas.openxmlformats.org/officeDocument/2006/relationships/oleObject" Target="embeddings/oleObject1.bin" /><Relationship Id="rId13" Type="http://schemas.openxmlformats.org/officeDocument/2006/relationships/image" Target="media/image6.wmf" /><Relationship Id="rId14" Type="http://schemas.openxmlformats.org/officeDocument/2006/relationships/oleObject" Target="embeddings/oleObject2.bin" /><Relationship Id="rId15" Type="http://schemas.openxmlformats.org/officeDocument/2006/relationships/image" Target="media/image7.wmf" /><Relationship Id="rId16" Type="http://schemas.openxmlformats.org/officeDocument/2006/relationships/oleObject" Target="embeddings/oleObject3.bin" /><Relationship Id="rId17" Type="http://schemas.openxmlformats.org/officeDocument/2006/relationships/image" Target="media/image8.wmf" /><Relationship Id="rId18" Type="http://schemas.openxmlformats.org/officeDocument/2006/relationships/oleObject" Target="embeddings/oleObject4.bin" /><Relationship Id="rId19" Type="http://schemas.openxmlformats.org/officeDocument/2006/relationships/header" Target="header1.xml" /><Relationship Id="rId2" Type="http://schemas.openxmlformats.org/officeDocument/2006/relationships/webSettings" Target="webSettings.xml" /><Relationship Id="rId20" Type="http://schemas.openxmlformats.org/officeDocument/2006/relationships/header" Target="header2.xml" /><Relationship Id="rId21" Type="http://schemas.openxmlformats.org/officeDocument/2006/relationships/footer" Target="footer3.xml" /><Relationship Id="rId22" Type="http://schemas.openxmlformats.org/officeDocument/2006/relationships/footer" Target="footer4.xml" /><Relationship Id="rId23" Type="http://schemas.openxmlformats.org/officeDocument/2006/relationships/theme" Target="theme/theme1.xml" /><Relationship Id="rId24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29974547d5a3472a8c2dd31fba059a04mtm5mjcymjuzma</vt:lpwstr>
  </property>
</Properties>
</file>