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  <w:r w:rsidRPr="00043B54">
        <w:rPr>
          <w:b/>
          <w:noProof/>
          <w:szCs w:val="21"/>
        </w:rPr>
        <w:drawing>
          <wp:anchor distT="0" distB="0" distL="114300" distR="114300" simplePos="0" relativeHeight="251658240" behindDoc="0" locked="0" layoutInCell="1" allowOverlap="1" wp14:anchorId="3D245BDD" wp14:editId="36E50121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3.6×10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．纯电阻电路和非纯电阻电路的比较　电功与电热的区别与联系</w:t>
      </w:r>
    </w:p>
    <w:p w14:paraId="69C23FE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）电功与电热的区别与联系</w:t>
      </w:r>
    </w:p>
    <w:p w14:paraId="251840F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</w:t>
      </w:r>
    </w:p>
    <w:p w14:paraId="2E81446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302938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871D1D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）非纯电阻电路</w:t>
      </w:r>
    </w:p>
    <w:p w14:paraId="018D287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，电热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W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1F56FA0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电功率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，热功率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电＞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C2EEB4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．电动势</w:t>
      </w:r>
    </w:p>
    <w:p w14:paraId="1118CA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闭合电路。闭合电路包括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．电动势与电压的对比　电源的连接</w:t>
      </w:r>
    </w:p>
    <w:p w14:paraId="79833C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）电源的连接</w:t>
      </w:r>
    </w:p>
    <w:p w14:paraId="204E9C8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完全相同的电源串联：电源的总电动势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nE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nr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D8768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完全相同的电源并联：电源的总电动势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．闭合电路欧姆定律</w:t>
      </w:r>
    </w:p>
    <w:p w14:paraId="57FA7F4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Rt+I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bdr w:val="single" w:sz="8" w:space="0" w:color="auto"/>
          </w:rPr>
          <m:t>I=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+U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和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．路端电压与负载的关系</w:t>
      </w:r>
    </w:p>
    <w:p w14:paraId="75F6C61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结论：路端电压随着外电阻的增大而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．闭合电路中的几个关系式与使用提醒</w:t>
      </w:r>
    </w:p>
    <w:p w14:paraId="46A9194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由于电源的电动势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和内电阻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不受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变化的影响，从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不难看出，随着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的增加，电路中电流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）特别提醒</w:t>
      </w:r>
    </w:p>
    <w:p w14:paraId="2AA36C5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．电源的总功率</w:t>
      </w:r>
    </w:p>
    <w:p w14:paraId="7052D89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外＋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出＋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．电源内部消耗的功率</w:t>
      </w:r>
    </w:p>
    <w:p w14:paraId="6BF9B4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．电源的输出功率</w:t>
      </w:r>
    </w:p>
    <w:p w14:paraId="2EEACF1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出＝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I2r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．电源的效率</w:t>
      </w:r>
    </w:p>
    <w:p w14:paraId="4FB2D17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1A1B64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27E138C0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．纯电阻电路中电源的最大输出功率（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4AE7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+4r</m:t>
        </m:r>
      </m:oMath>
    </w:p>
    <w:p w14:paraId="029689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时</w:t>
      </w:r>
      <w:r>
        <w:rPr>
          <w:rFonts w:ascii="Times New Roman" w:hAnsi="Times New Roman" w:eastAsia="宋体" w:cs="Times New Roman"/>
          <w:szCs w:val="21"/>
          <w:sz w:val="21"/>
        </w:rPr>
        <w:t>，电源的输出功率最大为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642E414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．提高纯电阻电路效率的方法</w:t>
      </w:r>
    </w:p>
    <w:p w14:paraId="5D8ABD5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增大，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η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越高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2E8EE28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</w:t>
      </w:r>
      <w:r>
        <w:rPr>
          <w:rFonts w:ascii="Times New Roman" w:hAnsi="Times New Roman" w:eastAsia="宋体" w:cs="Times New Roman"/>
          <w:szCs w:val="21"/>
          <w:sz w:val="21"/>
        </w:rPr>
        <w:t>．动态电路的特点</w:t>
      </w:r>
    </w:p>
    <w:p w14:paraId="3A958E7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．电路动态分析的常用方法</w:t>
      </w:r>
    </w:p>
    <w:p w14:paraId="042902C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）程序法</w:t>
      </w:r>
    </w:p>
    <w:p w14:paraId="345D78B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串反并同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结论法</w:t>
      </w:r>
    </w:p>
    <w:p w14:paraId="00EDFE0C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所谓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串反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所谓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并同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）极限法</w:t>
      </w:r>
    </w:p>
    <w:p w14:paraId="76C6B94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因变阻器滑片滑动引起电路变化的问题，可将变阻器的滑片分别滑至两个极端，让电阻最大或电阻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为零去讨论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40BF22C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含容电路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的分析</w:t>
      </w:r>
    </w:p>
    <w:p w14:paraId="7FA6E0EB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）电路简化</w:t>
      </w:r>
    </w:p>
    <w:p w14:paraId="400F9E64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）电容器的电压</w:t>
      </w:r>
    </w:p>
    <w:p w14:paraId="4DB47A1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）电容器的电荷量及变化</w:t>
      </w:r>
    </w:p>
    <w:p w14:paraId="41A0B35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|Q1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Q2|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6439F1C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）如果变化前后极板带电的电性相反，通过所连导线的电荷量为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Q1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Q2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1DFD2953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图像的理解</w:t>
      </w:r>
    </w:p>
    <w:p w14:paraId="4707655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）图线上的某点：图线上任一点对应的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表示该状态下的路端电压及电流，对于纯电阻外电路，其比值为此时外电路的电阻，即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）截距：纵轴上的截距等于电源的电动势；横轴上的截距等于外电路短路时的电流，即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）斜率：图线斜率的绝对值等于电源的内阻，即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d>
          <m:dPr>
            <m:begChr m:val="|"/>
            <m:endChr m:val="|"/>
            <m:ctrlPr>
              <w:rPr>
                <w:bdr w:val="single" w:sz="8" w:space="0" w:color="auto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bdr w:val="single" w:sz="8" w:space="0" w:color="auto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注意：如果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轴或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轴不从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面积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：如图所示，图中的阴影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面积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表示电源的输出功率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5C3E9DA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．电源与电阻的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与纵轴交点表示电源电动势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，与横轴交点表示电源短路电流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图线上每一点坐标的乘积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．实验：电池电动势和内阻的测量（伏安法）</w:t>
      </w:r>
    </w:p>
    <w:p w14:paraId="7D0FB2F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实验原理和方法</w:t>
      </w:r>
    </w:p>
    <w:p w14:paraId="5E515C5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实验电路如图所示，根据闭合电路的欧姆定律，改变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的阻值，测出两组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实验器材</w:t>
      </w:r>
    </w:p>
    <w:p w14:paraId="6291006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待测电池一节，电流表（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）、电压表（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实验步骤</w:t>
      </w:r>
    </w:p>
    <w:p w14:paraId="00F364A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）闭合开关，调节滑动变阻器，使电流表有明显示数，读出电压表示数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和电流表示数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）断开开关，整理好器材。</w:t>
      </w:r>
    </w:p>
    <w:p w14:paraId="681EEAF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数据处理</w:t>
      </w:r>
    </w:p>
    <w:p w14:paraId="0528A97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）公式法</w:t>
      </w:r>
    </w:p>
    <w:p w14:paraId="03FA531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把测量的几组数据分别代入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中，然后两个方程为一组，解方程求出几组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的值，最后对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分别求平均值作为测量结果。</w:t>
      </w:r>
    </w:p>
    <w:p w14:paraId="35523B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</w:t>
      </w:r>
    </w:p>
    <w:p w14:paraId="2EBF77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）以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为横坐标，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为纵坐标建立直角坐标系，根据几组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的测量数据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在坐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标系中描点。</w:t>
      </w:r>
    </w:p>
    <w:p w14:paraId="02472A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）如图所示：</w:t>
      </w:r>
    </w:p>
    <w:p w14:paraId="40CB8DF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图线与纵轴交点为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C12F6E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图线与横轴交点为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E96ED8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图线的斜率大小表示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F227C2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误差分析</w:t>
      </w:r>
    </w:p>
    <w:p w14:paraId="4901BB8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）偶然误差</w:t>
      </w:r>
    </w:p>
    <w:p w14:paraId="628448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由读数不准引起的误差．</w:t>
      </w:r>
    </w:p>
    <w:p w14:paraId="07E490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用图像法求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测量过程中通电时间过长或电流过大，都会引起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变化．</w:t>
      </w:r>
    </w:p>
    <w:p w14:paraId="04B779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）系统误差</w:t>
      </w:r>
    </w:p>
    <w:p w14:paraId="0DAFB4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如图甲所示，在理论上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＋（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是路端电压．而实验中忽略了通过电压表的电流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而形成误差，而且电压表示数越大，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越大．</w:t>
      </w:r>
    </w:p>
    <w:p w14:paraId="06B2171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92D545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5B09EFF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画出乙图中右侧的修正图，由图可以看出：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若采用丙图所示电路，在理论上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＝（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88C8C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42E9C34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画出丁图中右侧修正图，由图可以看出：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</w:t>
      </w:r>
    </w:p>
    <w:p w14:paraId="138FF6E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）器材和量程的选择</w:t>
      </w:r>
    </w:p>
    <w:p w14:paraId="14FEB82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号干电池。</w:t>
      </w:r>
    </w:p>
    <w:p w14:paraId="0AEAB22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Cs w:val="21"/>
          <w:sz w:val="21"/>
        </w:rPr>
        <w:t>1.5 V</w:t>
      </w:r>
      <w:r>
        <w:rPr>
          <w:rFonts w:ascii="Times New Roman" w:hAnsi="Times New Roman" w:eastAsia="宋体" w:cs="Times New Roman"/>
          <w:szCs w:val="21"/>
          <w:sz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的电压表。</w:t>
      </w:r>
    </w:p>
    <w:p w14:paraId="68C0D4F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，故电流表的量程选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48B7B37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）实验操作：电池在大电流放电时极化现象较严重，电动势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会明显下降，内阻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会明显增大，故长时间放电不宜超过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0.3 A</w:t>
      </w:r>
      <w:r>
        <w:rPr>
          <w:rFonts w:ascii="Times New Roman" w:hAnsi="Times New Roman" w:eastAsia="宋体" w:cs="Times New Roman"/>
          <w:szCs w:val="21"/>
          <w:sz w:val="21"/>
        </w:rPr>
        <w:t>，短时间放电不宜超过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。因此，实验中不要将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调得过大，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读电表示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4378A5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）画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23</w:t>
      </w:r>
      <w:r>
        <w:rPr>
          <w:rFonts w:ascii="Times New Roman" w:hAnsi="Times New Roman" w:eastAsia="宋体" w:cs="Times New Roman"/>
          <w:szCs w:val="21"/>
          <w:sz w:val="21"/>
        </w:rPr>
        <w:t>．测量电源电动势和内阻的安阻法</w:t>
      </w:r>
    </w:p>
    <w:p w14:paraId="320FC1F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219220F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7E07689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7D443FE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6250C67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FDBB53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AC449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）可得</w:t>
      </w:r>
    </w:p>
    <w:p w14:paraId="174ABF3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，可作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图像（如图甲）</w:t>
      </w:r>
    </w:p>
    <w:p w14:paraId="2995C319" w14:textId="77777777" w:rsidR="00000000" w:rsidRDefault="00000000">
      <w:pPr>
        <w:spacing w:line="300" w:lineRule="auto"/>
        <w:jc w:val="left"/>
        <w:rPr>
          <w:i/>
          <w:szCs w:val="21"/>
        </w:rPr>
      </w:pP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，可作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图像（如图乙）</w:t>
      </w:r>
    </w:p>
    <w:p w14:paraId="17E7C9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，纵轴截距为－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237809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164D1D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）．</w:t>
      </w:r>
    </w:p>
    <w:p w14:paraId="46F57C3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</w:t>
      </w:r>
      <w:r>
        <w:rPr>
          <w:rFonts w:ascii="Times New Roman" w:hAnsi="Times New Roman" w:eastAsia="宋体" w:cs="Times New Roman"/>
          <w:szCs w:val="21"/>
          <w:sz w:val="21"/>
        </w:rPr>
        <w:t>．测量电源电动势和内阻的伏阻法</w:t>
      </w:r>
    </w:p>
    <w:p w14:paraId="52AB9E8D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1CEE6D2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01DD3FA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1FE02AD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7D26862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nor/>
          </m:rPr>
          <w:rPr>
            <w:rFonts w:cs="Cambria Math"/>
            <w:bdr w:val="single" w:sz="8" w:space="0" w:color="auto"/>
          </w:rPr>
          <m:t>,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9F61D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解方程组可求得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01C8380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得：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故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，如图．</w:t>
      </w:r>
    </w:p>
    <w:p w14:paraId="791B4C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274CD55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</w:t>
      </w:r>
      <w:r>
        <w:rPr>
          <w:rFonts w:ascii="Times New Roman" w:hAnsi="Times New Roman" w:eastAsia="宋体" w:cs="Times New Roman"/>
          <w:szCs w:val="21"/>
          <w:sz w:val="21"/>
        </w:rPr>
        <w:t>．能量守恒定律</w:t>
      </w:r>
    </w:p>
    <w:p w14:paraId="74D783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增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</w:t>
      </w:r>
      <w:r>
        <w:rPr>
          <w:rFonts w:ascii="Times New Roman" w:hAnsi="Times New Roman" w:eastAsia="宋体" w:cs="Times New Roman"/>
          <w:szCs w:val="21"/>
          <w:sz w:val="21"/>
        </w:rPr>
        <w:t>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</w:t>
      </w:r>
      <w:r>
        <w:rPr>
          <w:rFonts w:ascii="Times New Roman" w:hAnsi="Times New Roman" w:eastAsia="宋体" w:cs="Times New Roman"/>
          <w:szCs w:val="21"/>
          <w:sz w:val="21"/>
        </w:rPr>
        <w:t>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23EA637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</w:t>
      </w:r>
      <w:r>
        <w:rPr>
          <w:rFonts w:ascii="Times New Roman" w:hAnsi="Times New Roman" w:eastAsia="宋体" w:cs="Times New Roman"/>
          <w:szCs w:val="21"/>
          <w:sz w:val="21"/>
        </w:rP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按利用</w:t>
            </w:r>
            <w:proofErr w:type="gramEnd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按可否</w:t>
            </w: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>
      <w:pPr>
        <w:spacing w:line="300" w:lineRule="auto" w:before="0" w:after="0"/>
      </w:pPr>
    </w:p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