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410" w:lineRule="atLeast"/>
        <w:jc w:val="left"/>
      </w:pPr>
      <w:r>
        <w:rPr>
          <w:rFonts w:ascii="Times New Roman" w:hAnsi="Times New Roman" w:eastAsia="宋体"/>
          <w:color w:val="auto"/>
          <w:sz w:val="24"/>
          <w:szCs w:val="24"/>
        </w:rPr>
        <w:t xml:space="preserve">〔基〕＝基础必会：必须学完本条目，才能做本章题目</w:t>
      </w:r>
    </w:p>
    <w:p>
      <w:pPr>
        <w:spacing w:before="0" w:after="0" w:line="410" w:lineRule="atLeast"/>
        <w:jc w:val="left"/>
        <w:sectPr>
          <w:headerReference w:type="default" r:id="rId25"/>
          <w:footerReference w:type="default" r:id="rId21"/>
          <w:type w:val="continuous"/>
          <w:pgSz w:w="11906" w:h="16838"/>
          <w:pgMar w:top="850" w:right="850" w:bottom="850" w:left="850" w:header="283" w:footer="850" w:gutter="0"/>
          <w:pgNumType w:start="1"/>
          <w:cols w:num="1"/>
        </w:sectPr>
      </w:pPr>
      <w:r>
        <w:rPr>
          <w:rFonts w:ascii="Times New Roman" w:hAnsi="Times New Roman" w:eastAsia="宋体"/>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1.1 空间向量及其运算</w:t>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1.1.1 空间向量及其运算</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snapToGrid w:val="0"/>
              <w:spacing w:line="410" w:lineRule="atLeast" w:before="0" w:after="0"/>
              <w:jc w:val="left"/>
            </w:pPr>
            <w:r>
              <w:rPr>
                <w:rFonts w:ascii="Times New Roman" w:hAnsi="Times New Roman" w:eastAsia="宋体"/>
                <w:sz w:val="24"/>
                <w:szCs w:val="24"/>
              </w:rPr>
              <w:t xml:space="preserve">定义</w:t>
            </w:r>
          </w:p>
        </w:tc>
        <w:tc>
          <w:tcPr>
            <w:tcW w:w="959"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snapToGrid w:val="0"/>
              <w:spacing w:line="410" w:lineRule="atLeast" w:before="0" w:after="0"/>
              <w:jc w:val="left"/>
            </w:pPr>
            <w:r>
              <w:rPr>
                <w:rFonts w:ascii="Times New Roman" w:hAnsi="Times New Roman" w:eastAsia="宋体"/>
                <w:sz w:val="24"/>
                <w:szCs w:val="24"/>
              </w:rPr>
              <w:t xml:space="preserve">——</w:t>
            </w:r>
          </w:p>
        </w:tc>
        <w:tc>
          <w:tcPr>
            <w:tcW w:w="3140"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40"/>
        <w:gridCol w:w="520"/>
        <w:gridCol w:w="1066"/>
        <w:gridCol w:w="2124"/>
      </w:tblGrid>
      <w:tr w:rsidR="00A75E48" w14:paraId="5851CDF3"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OB</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870905" cy="432606"/>
                          </a:xfrm>
                          <a:prstGeom prst="rect">
                            <a:avLst/>
                          </a:prstGeom>
                        </pic:spPr>
                      </pic:pic>
                    </a:graphicData>
                  </a:graphic>
                </wp:inline>
              </w:drawing>
            </w:r>
          </w:p>
        </w:tc>
      </w:tr>
      <w:tr w:rsidR="00A75E48" w14:paraId="1FEDB2D8" w14:textId="77777777">
        <w:tc>
          <w:tcPr>
            <w:tcW w:w="940" w:type="dxa"/>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CA</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940" w:type="dxa"/>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PQ</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779757" cy="655258"/>
                          </a:xfrm>
                          <a:prstGeom prst="rect">
                            <a:avLst/>
                          </a:prstGeom>
                        </pic:spPr>
                      </pic:pic>
                    </a:graphicData>
                  </a:graphic>
                </wp:inline>
              </w:drawing>
            </w:r>
          </w:p>
        </w:tc>
      </w:tr>
      <w:tr w:rsidR="00A75E48" w14:paraId="5D7FF2E6" w14:textId="77777777">
        <w:tc>
          <w:tcPr>
            <w:tcW w:w="940" w:type="dxa"/>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MN</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940" w:type="dxa"/>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0</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319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rsidR="00A75E48" w14:paraId="3C39EEEE" w14:textId="77777777">
        <w:tc>
          <w:tcPr>
            <w:tcW w:w="940" w:type="dxa"/>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e>
              </m:d>
              <m:r>
                <w:rPr>
                  <w:rFonts w:ascii="Times New Roman" w:hAnsi="Times New Roman" w:cs="Cambria Math"/>
                </w:rPr>
                <m:t>+</m:t>
              </m:r>
              <m:acc>
                <m:accPr>
                  <m:chr m:val="⃑"/>
                  <m:ctrlPr>
                    <w:rPr>
                      <w:rFonts w:ascii="Cambria Math" w:hAnsi="Cambria Math"/>
                    </w:rPr>
                  </m:ctrlPr>
                </m:accPr>
                <m:e>
                  <m:r>
                    <w:rPr>
                      <w:rFonts w:ascii="Cambria Math" w:hAnsi="Cambria Math"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rsidR="00A75E48" w14:paraId="363D684E" w14:textId="77777777">
        <w:tc>
          <w:tcPr>
            <w:tcW w:w="940" w:type="dxa"/>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457295" cy="838835"/>
                          </a:xfrm>
                          <a:prstGeom prst="rect">
                            <a:avLst/>
                          </a:prstGeom>
                        </pic:spPr>
                      </pic:pic>
                    </a:graphicData>
                  </a:graphic>
                </wp:inline>
              </w:drawing>
            </w:r>
          </w:p>
        </w:tc>
      </w:tr>
      <w:tr w:rsidR="00A75E48" w14:paraId="78681F5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1.1.2 空间向量基本定理</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snapToGrid w:val="0"/>
              <w:spacing w:line="410" w:lineRule="atLeast" w:before="0" w:after="0"/>
              <w:jc w:val="left"/>
            </w:pPr>
            <w:r>
              <w:rPr>
                <w:rFonts w:ascii="Times New Roman" w:hAnsi="Times New Roman" w:eastAsia="宋体"/>
                <w:sz w:val="24"/>
                <w:szCs w:val="24"/>
              </w:rPr>
              <w:t xml:space="preserve">——</w:t>
            </w:r>
          </w:p>
        </w:tc>
        <w:tc>
          <w:tcPr>
            <w:tcW w:w="3135"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1.1.3 空间向量的坐标与空间直角坐标系</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 空间向量在立体几何中的应用</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1.2.1 空间中的点、直线与空间向量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1.2.2 空间中的平面与空间向量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496"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496" w:type="dxa"/>
          </w:tcPr>
          <w:p>
            <w:pPr>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496" w:type="dxa"/>
          </w:tcPr>
          <w:p>
            <w:pPr>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snapToGrid w:val="0"/>
              <w:spacing w:line="410" w:lineRule="atLeast" w:before="0" w:after="0"/>
              <w:jc w:val="left"/>
            </w:pPr>
            <w:r>
              <w:rPr>
                <w:rFonts w:ascii="Times New Roman" w:hAnsi="Times New Roman" w:eastAsia="宋体"/>
                <w:sz w:val="24"/>
                <w:szCs w:val="24"/>
              </w:rPr>
              <w:t xml:space="preserve">——</w:t>
            </w:r>
          </w:p>
        </w:tc>
        <w:tc>
          <w:tcPr>
            <w:tcW w:w="2716"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pPr>
        <w:pStyle w:val="JieMingMao"/>
        <w:spacing w:before="0" w:after="0" w:line="20" w:lineRule="exact"/>
        <w:jc w:val="left"/>
      </w:pPr>
      <w:r>
        <w:rPr>
          <w:color w:val="FFFFFF"/>
          <w:sz w:val="2"/>
          <w:szCs w:val="2"/>
        </w:rPr>
        <w:t xml:space="preserve">1.2.3 直线与平面的夹角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32"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pPr>
        <w:pStyle w:val="JieMingMao"/>
        <w:spacing w:before="0" w:after="0" w:line="20" w:lineRule="exact"/>
        <w:jc w:val="left"/>
      </w:pPr>
      <w:r>
        <w:rPr>
          <w:color w:val="FFFFFF"/>
          <w:sz w:val="2"/>
          <w:szCs w:val="2"/>
        </w:rPr>
        <w:t xml:space="preserve">1.2.4 二面角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snapToGrid w:val="0"/>
              <w:spacing w:line="410" w:lineRule="atLeast" w:before="0" w:after="0"/>
              <w:jc w:val="left"/>
            </w:pPr>
            <w:r>
              <w:rPr>
                <w:rFonts w:ascii="Times New Roman" w:hAnsi="Times New Roman" w:eastAsia="宋体"/>
                <w:sz w:val="24"/>
                <w:szCs w:val="24"/>
              </w:rPr>
              <w:t xml:space="preserve">[0°,180°]</w:t>
            </w:r>
          </w:p>
        </w:tc>
      </w:tr>
      <w:tr>
        <w:tc>
          <w:tcPr>
            <w:tcW w:w="496" w:type="dxa"/>
          </w:tcPr>
          <w:p>
            <w:pPr>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snapToGrid w:val="0"/>
              <w:spacing w:line="410" w:lineRule="atLeast" w:before="0" w:after="0"/>
              <w:jc w:val="left"/>
            </w:pPr>
            <w:r>
              <w:rPr>
                <w:rFonts w:ascii="Times New Roman" w:hAnsi="Times New Roman" w:eastAsia="宋体"/>
                <w:sz w:val="24"/>
                <w:szCs w:val="24"/>
              </w:rPr>
              <w:t xml:space="preserve">——</w:t>
            </w:r>
          </w:p>
        </w:tc>
        <w:tc>
          <w:tcPr>
            <w:tcW w:w="2039"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shd w:val="clear" w:color="auto" w:fill="C9C9C9"/>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shd w:val="clear" w:color="auto" w:fill="C9C9C9"/>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shd w:val="clear" w:color="auto" w:fill="C9C9C9"/>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JieMingMao"/>
        <w:spacing w:before="0" w:after="0" w:line="20" w:lineRule="exact"/>
        <w:jc w:val="left"/>
      </w:pPr>
      <w:r>
        <w:rPr>
          <w:color w:val="FFFFFF"/>
          <w:sz w:val="2"/>
          <w:szCs w:val="2"/>
        </w:rPr>
        <w:t xml:space="preserve">1.2.5 空间中的距离</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496" w:type="dxa"/>
          </w:tcPr>
          <w:p>
            <w:pPr>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496" w:type="dxa"/>
          </w:tcPr>
          <w:p>
            <w:pPr>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496" w:type="dxa"/>
          </w:tcPr>
          <w:p>
            <w:pPr>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496"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snapToGrid w:val="0"/>
              <w:spacing w:line="410" w:lineRule="atLeast" w:before="0" w:after="0"/>
              <w:jc w:val="left"/>
            </w:pPr>
            <w:r>
              <w:rPr>
                <w:rFonts w:ascii="Times New Roman" w:hAnsi="Times New Roman" w:eastAsia="宋体"/>
                <w:sz w:val="24"/>
                <w:szCs w:val="24"/>
              </w:rPr>
              <w:t xml:space="preserve">——</w:t>
            </w:r>
          </w:p>
        </w:tc>
        <w:tc>
          <w:tcPr>
            <w:tcW w:w="2838"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（共13页）·本2/共6本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（共13页）·本2/共6本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9" Type="http://schemas.openxmlformats.org/officeDocument/2006/relationships/image" Target="media/image23.png"/><Relationship Id="rIdW1_1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