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w:pPr>
        <w:shd w:val="clear" w:color="auto" w:fill="auto"/>
        <w:spacing w:line="300" w:lineRule="auto" w:before="0" w:after="0"/>
        <w:jc w:val="left"/>
        <w:rPr>
          <w:i/>
          <w:sz w:val="21"/>
        </w:rPr>
      </w:pPr>
      <w:r>
        <w:rPr>
          <w:sz w:val="21"/>
        </w:rPr>
        <w:t>故选</w:t>
      </w:r>
      <w:r>
        <w:rPr>
          <w:i/>
          <w:sz w:val="21"/>
        </w:rPr>
        <w:t>BCD.</w:t>
      </w:r>
    </w:p>
    <w:p>
      <w:pPr>
        <w:shd w:val="clear" w:color="auto" w:fill="auto"/>
        <w:spacing w:line="300"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·本部第56–120页（共234页）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