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点；此配置由初版"原点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点"经</w:t>
      </w:r>
      <w:r>
        <w:rPr>
          <w:rFonts w:ascii="Times New Roman" w:hAnsi="Times New Roman" w:eastAsia="宋体"/>
          <w:b/>
          <w:sz w:val="24"/>
        </w:rPr>
        <w:t>半径–点数配对扫描</w:t>
      </w:r>
      <w:r>
        <w:rPr>
          <w:rFonts w:ascii="Times New Roman" w:hAnsi="Times New Roman" w:eastAsia="宋体"/>
          <w:sz w:val="24"/>
        </w:rPr>
        <w:t>替换，见 §5.5）并给出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点接收"；采纳版另把"仅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例零漏清，66 局官方模拟器在环测试（初版配置）全部全清、零未解决。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</w:t>
      </w:r>
      <w:r>
        <w:rPr>
          <w:rFonts w:ascii="Times New Roman" w:hAnsi="Times New Roman" w:eastAsia="宋体"/>
          <w:sz w:val="24"/>
        </w:rPr>
        <w:t>已按 §5.5 更新为采纳配置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的 9 点，共 10 点（§5.1 初版为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点；该配置已在 §5.5 中被配对实验替换，结论与证明结构完全同构）。设源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采纳版把"最坏情形"显著推远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认证判据正确率（关键指标，采纳前配置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100 %（采纳配置下的对应诊断见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定位调用结构（采纳前配置）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覆盖环（已按 §5.5 重设计并采纳）</w:t>
      </w:r>
      <w:r>
        <w:rPr>
          <w:rFonts w:ascii="Times New Roman" w:hAnsi="Times New Roman" w:eastAsia="宋体"/>
          <w:sz w:val="24"/>
        </w:rPr>
        <w:t xml:space="preserve">：初版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m，余量约 180 m，总时间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点环在全部覆盖设计中点数最小"，只能说"在本文考察的半径–点数网格上，它是帕累托占优的"。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覆盖环的"半径–点数"稳健性再设计（**已采纳**：1150 m × 9 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门禁核验（采纳依据，配置已写入代码与冻结字典）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 xml:space="preserve">——该几何下覆盖环几乎用不到，而多出的 3 个站点仍要付出扫描开销。由于该类别在题设（源随机分布于 </w:t>
      </w:r>
      <w:r>
        <w:rPr>
          <w:rFonts w:ascii="Cambria Math" w:hAnsi="Cambria Math" w:eastAsia="宋体"/>
          <w:sz w:val="24"/>
        </w:rPr>
        <w:t>R≤1800</w:t>
      </w:r>
      <w:r>
        <w:rPr>
          <w:rFonts w:ascii="Times New Roman" w:hAnsi="Times New Roman" w:eastAsia="宋体"/>
          <w:sz w:val="24"/>
        </w:rPr>
        <w:t xml:space="preserve"> m 圆盘）中出现概率低，且总时间与病理集合计均显著改善，故仍予采纳。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早于本次采纳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本次采纳后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22b6dcba0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>该启发式估计"最多到约 20–24 点"已被 §6.12 的充要判据检验取代并收紧：在 V4 上删除任意一个站点都会使充要判据失效（余量 $+10.40\to-91.88$ m），故"在 V4 上减站"收益为 0；"是否存在其它 22–26 点布局"仍未证明。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4b837a597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同时改善余量与时间</w:t>
      </w:r>
      <w:r>
        <w:rPr>
          <w:rFonts w:ascii="Times New Roman" w:hAnsi="Times New Roman" w:eastAsia="宋体"/>
          <w:sz w:val="24"/>
        </w:rPr>
        <w:t>的方向（采纳），而问题四在同一类分析中只得到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用"充要判据"重估站数下界：V4 的 27 个站点**全部承重**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ff3c63526f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3ed8d2007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满足充要判据）</w:t>
      </w:r>
      <w:r>
        <w:rPr>
          <w:rFonts w:ascii="Times New Roman" w:hAnsi="Times New Roman" w:eastAsia="宋体"/>
          <w:sz w:val="24"/>
        </w:rPr>
        <w:t xml:space="preserve"> 机器精确复核以下四个前提（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（"与圆盘相交"用精确判据：顶点在盘内 ∨ 边到原点距离 </w:t>
      </w:r>
      <w:r>
        <w:rPr>
          <w:rFonts w:ascii="Cambria Math" w:hAnsi="Cambria Math" w:eastAsia="宋体"/>
          <w:sz w:val="24"/>
        </w:rPr>
        <w:t>≤1800</w:t>
      </w:r>
      <w:r>
        <w:rPr>
          <w:rFonts w:ascii="Times New Roman" w:hAnsi="Times New Roman" w:eastAsia="宋体"/>
          <w:sz w:val="24"/>
        </w:rPr>
        <w:t xml:space="preserve">）：由 ① 与凸包凸性，每个三角形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凸包；由 ② 得三角形并集与凸包面积相等、只差零测集 ⟹ 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圆盘（由 ③）；取任意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④ 知 </w:t>
      </w:r>
      <w:r>
        <w:rPr>
          <w:rFonts w:ascii="Cambria Math" w:hAnsi="Cambria Math" w:eastAsia="宋体"/>
          <w:sz w:val="24"/>
        </w:rPr>
        <w:t>lvert GArvert,lvert GBrvert,lvert GCrvert≤maxedge(T)≤1000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 xml:space="preserve">。∎ </w:t>
      </w:r>
      <w:r>
        <w:rPr>
          <w:rFonts w:ascii="Times New Roman" w:hAnsi="Times New Roman" w:eastAsia="宋体"/>
          <w:b/>
          <w:sz w:val="24"/>
        </w:rPr>
        <w:t>即充要判据对 V4 的</w:t>
      </w:r>
      <w:r>
        <w:rPr>
          <w:rFonts w:ascii="Times New Roman" w:hAnsi="Times New Roman" w:eastAsia="宋体"/>
          <w:sz w:val="24"/>
        </w:rPr>
        <w:t>全部</w:t>
      </w:r>
      <w:r>
        <w:rPr>
          <w:rFonts w:ascii="Times New Roman" w:hAnsi="Times New Roman" w:eastAsia="宋体"/>
          <w:b/>
          <w:sz w:val="24"/>
        </w:rPr>
        <w:t>$G\in D$ 成立，与"网格采样"无关。</w:t>
      </w:r>
      <w:r>
        <w:rPr>
          <w:rFonts w:ascii="Times New Roman" w:hAnsi="Times New Roman" w:eastAsia="宋体"/>
          <w:sz w:val="24"/>
        </w:rPr>
        <w:t>（三角形列表由浮点构造过程生成，但上述四个前提的复核对象只是该列表本身，且全部用精确有理算术。）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B（必要性：删除任一站点即失效）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>：① 站数降到 26 已经</w:t>
      </w:r>
      <w:r>
        <w:rPr>
          <w:rFonts w:ascii="Times New Roman" w:hAnsi="Times New Roman" w:eastAsia="宋体"/>
          <w:b/>
          <w:sz w:val="24"/>
        </w:rPr>
        <w:t>不可行</w:t>
      </w:r>
      <w:r>
        <w:rPr>
          <w:rFonts w:ascii="Times New Roman" w:hAnsi="Times New Roman" w:eastAsia="宋体"/>
          <w:sz w:val="24"/>
        </w:rPr>
        <w:t>——不是一个站"可省但省得少"，而是</w:t>
      </w:r>
      <w:r>
        <w:rPr>
          <w:rFonts w:ascii="Times New Roman" w:hAnsi="Times New Roman" w:eastAsia="宋体"/>
          <w:b/>
          <w:sz w:val="24"/>
        </w:rPr>
        <w:t>每个站都是承重的</w:t>
      </w:r>
      <w:r>
        <w:rPr>
          <w:rFonts w:ascii="Times New Roman" w:hAnsi="Times New Roman" w:eastAsia="宋体"/>
          <w:sz w:val="24"/>
        </w:rPr>
        <w:t>（27 条精确证书），这比 §6.7 的"20–24 站"启发式下界</w:t>
      </w:r>
      <w:r>
        <w:rPr>
          <w:rFonts w:ascii="Times New Roman" w:hAnsi="Times New Roman" w:eastAsia="宋体"/>
          <w:b/>
          <w:sz w:val="24"/>
        </w:rPr>
        <w:t>更强</w:t>
      </w:r>
      <w:r>
        <w:rPr>
          <w:rFonts w:ascii="Times New Roman" w:hAnsi="Times New Roman" w:eastAsia="宋体"/>
          <w:sz w:val="24"/>
        </w:rPr>
        <w:t xml:space="preserve">，且不再依赖充分判据；② 充要判据（网格）给出的余量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与充分判据的支撑边余量 $10.395$ m 数值一致</w:t>
      </w:r>
      <w:r>
        <w:rPr>
          <w:rFonts w:ascii="Times New Roman" w:hAnsi="Times New Roman" w:eastAsia="宋体"/>
          <w:sz w:val="24"/>
        </w:rPr>
        <w:t>——两套互不相同的代码路径得到同一数字，说明</w:t>
      </w:r>
      <w:r>
        <w:rPr>
          <w:rFonts w:ascii="Times New Roman" w:hAnsi="Times New Roman" w:eastAsia="宋体"/>
          <w:b/>
          <w:sz w:val="24"/>
        </w:rPr>
        <w:t>充分判据在本设计上是紧的</w:t>
      </w:r>
      <w:r>
        <w:rPr>
          <w:rFonts w:ascii="Times New Roman" w:hAnsi="Times New Roman" w:eastAsia="宋体"/>
          <w:sz w:val="24"/>
        </w:rPr>
        <w:t>，即"V3→V4 的几何已无余量"既不是采样假象、也不是保守判据的产物；③ 因此"减少站数换取时间"这一方向的收益</w:t>
      </w:r>
      <w:r>
        <w:rPr>
          <w:rFonts w:ascii="Times New Roman" w:hAnsi="Times New Roman" w:eastAsia="宋体"/>
          <w:b/>
          <w:sz w:val="24"/>
        </w:rPr>
        <w:t>在 V4 上不是 2.2 %、而是 0</w:t>
      </w:r>
      <w:r>
        <w:rPr>
          <w:rFonts w:ascii="Times New Roman" w:hAnsi="Times New Roman" w:eastAsia="宋体"/>
          <w:sz w:val="24"/>
        </w:rPr>
        <w:t>（无可行解）；只有</w:t>
      </w:r>
      <w:r>
        <w:rPr>
          <w:rFonts w:ascii="Times New Roman" w:hAnsi="Times New Roman" w:eastAsia="宋体"/>
          <w:b/>
          <w:sz w:val="24"/>
        </w:rPr>
        <w:t>重新设计</w:t>
      </w:r>
      <w:r>
        <w:rPr>
          <w:rFonts w:ascii="Times New Roman" w:hAnsi="Times New Roman" w:eastAsia="宋体"/>
          <w:sz w:val="24"/>
        </w:rPr>
        <w:t>一个点数更少且满足充要判据的新布局才可能有收益，但那已超出"在 V4 上微调"的范围。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A、B 均为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（前者为蕴含链 + 四前提复核，后者为显式证书），但仍需注意：命题 A 的三角剖分是</w:t>
      </w:r>
      <w:r>
        <w:rPr>
          <w:rFonts w:ascii="Times New Roman" w:hAnsi="Times New Roman" w:eastAsia="宋体"/>
          <w:b/>
          <w:sz w:val="24"/>
        </w:rPr>
        <w:t>给定的 37 个三角形</w:t>
      </w:r>
      <w:r>
        <w:rPr>
          <w:rFonts w:ascii="Times New Roman" w:hAnsi="Times New Roman" w:eastAsia="宋体"/>
          <w:sz w:val="24"/>
        </w:rPr>
        <w:t xml:space="preserve">（其构造过程用浮点，复核用精确算术）；②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（真实最小值不高于该值），严格的上确界未求；③ "任何其它 22–26 点布局都不可行"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——本文只证明"</w:t>
      </w:r>
      <w:r>
        <w:rPr>
          <w:rFonts w:ascii="Times New Roman" w:hAnsi="Times New Roman" w:eastAsia="宋体"/>
          <w:b/>
          <w:sz w:val="24"/>
        </w:rPr>
        <w:t>从 V4 删除任何单个站点都不可行</w:t>
      </w:r>
      <w:r>
        <w:rPr>
          <w:rFonts w:ascii="Times New Roman" w:hAnsi="Times New Roman" w:eastAsia="宋体"/>
          <w:sz w:val="24"/>
        </w:rPr>
        <w:t>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采纳配置(10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采纳配置病理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