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 xml:space="preserve">：7 点覆盖骨架（原点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>，66 局官方模拟器在环测试全部全清、零未解决。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最小覆盖顶点集 + 逐频道三角形证书 + MEC 就绪冻结</w:t>
      </w:r>
      <w:r>
        <w:rPr>
          <w:rFonts w:ascii="Times New Roman" w:hAnsi="Times New Roman" w:eastAsia="宋体"/>
          <w:sz w:val="24"/>
        </w:rPr>
        <w:t xml:space="preserve">：把网格视为覆盖设计问题（目标函数为扫描成本，硬约束为诱导剖分覆盖圆盘且最大边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m），得到 </w:t>
      </w:r>
      <w:r>
        <w:rPr>
          <w:rFonts w:ascii="Times New Roman" w:hAnsi="Times New Roman" w:eastAsia="宋体"/>
          <w:b/>
          <w:sz w:val="24"/>
        </w:rPr>
        <w:t>27 点完整三角格点块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a=910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θ=30^circ</w:t>
      </w:r>
      <w:r>
        <w:rPr>
          <w:rFonts w:ascii="Times New Roman" w:hAnsi="Times New Roman" w:eastAsia="宋体"/>
          <w:sz w:val="24"/>
        </w:rPr>
        <w:t xml:space="preserve">、外扩 2412 m、平移 </w:t>
      </w:r>
      <w:r>
        <w:rPr>
          <w:rFonts w:ascii="Cambria Math" w:hAnsi="Cambria Math" w:eastAsia="宋体"/>
          <w:sz w:val="24"/>
        </w:rPr>
        <w:t>(460,0)</w:t>
      </w:r>
      <w:r>
        <w:rPr>
          <w:rFonts w:ascii="Times New Roman" w:hAnsi="Times New Roman" w:eastAsia="宋体"/>
          <w:sz w:val="24"/>
        </w:rPr>
        <w:t>，27 点/37 三角形），并以</w:t>
      </w:r>
      <w:r>
        <w:rPr>
          <w:rFonts w:ascii="Times New Roman" w:hAnsi="Times New Roman" w:eastAsia="宋体"/>
          <w:b/>
          <w:sz w:val="24"/>
        </w:rPr>
        <w:t>连续几何证明</w:t>
      </w:r>
      <w:r>
        <w:rPr>
          <w:rFonts w:ascii="Times New Roman" w:hAnsi="Times New Roman" w:eastAsia="宋体"/>
          <w:sz w:val="24"/>
        </w:rPr>
        <w:t>确认其三角剖分</w:t>
      </w:r>
      <w:r>
        <w:rPr>
          <w:rFonts w:ascii="Times New Roman" w:hAnsi="Times New Roman" w:eastAsia="宋体"/>
          <w:b/>
          <w:sz w:val="24"/>
        </w:rPr>
        <w:t>无孔、两两不重叠、并集等于凸包、凸包严格包含目标圆盘</w:t>
      </w:r>
      <w:r>
        <w:rPr>
          <w:rFonts w:ascii="Times New Roman" w:hAnsi="Times New Roman" w:eastAsia="宋体"/>
          <w:sz w:val="24"/>
        </w:rPr>
        <w:t>（支撑边余量 6.17 m），故"三顶点均无信号 ⟹ 三角形内无源"成立，</w:t>
      </w:r>
      <w:r>
        <w:rPr>
          <w:rFonts w:ascii="Times New Roman" w:hAnsi="Times New Roman" w:eastAsia="宋体"/>
          <w:b/>
          <w:sz w:val="24"/>
        </w:rPr>
        <w:t>方向鲁棒覆盖判据 $S\in\operatorname{conv}Q(S)$ 经 12 万采样点 100 % 核验</w:t>
      </w:r>
      <w:r>
        <w:rPr>
          <w:rFonts w:ascii="Times New Roman" w:hAnsi="Times New Roman" w:eastAsia="宋体"/>
          <w:sz w:val="24"/>
        </w:rPr>
        <w:t xml:space="preserve">。在此之上，一旦某频道的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最小覆盖圆半径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不再重复测量</w:t>
      </w:r>
      <w:r>
        <w:rPr>
          <w:rFonts w:ascii="Times New Roman" w:hAnsi="Times New Roman" w:eastAsia="宋体"/>
          <w:sz w:val="24"/>
        </w:rPr>
        <w:t>（清除点已被确定性认证，继续测量无信息增益）。固定误差场配对实验（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）显示总时间 </w:t>
      </w:r>
      <w:r>
        <w:rPr>
          <w:rFonts w:ascii="Times New Roman" w:hAnsi="Times New Roman" w:eastAsia="宋体"/>
          <w:b/>
          <w:sz w:val="24"/>
        </w:rPr>
        <w:t>−6.4 % / −5.2 %</w:t>
      </w:r>
      <w:r>
        <w:rPr>
          <w:rFonts w:ascii="Times New Roman" w:hAnsi="Times New Roman" w:eastAsia="宋体"/>
          <w:sz w:val="24"/>
        </w:rPr>
        <w:t>（CI 不含 0，</w:t>
      </w:r>
      <w:r>
        <w:rPr>
          <w:rFonts w:ascii="Times New Roman" w:hAnsi="Times New Roman" w:eastAsia="宋体"/>
          <w:b/>
          <w:sz w:val="24"/>
        </w:rPr>
        <w:t>100 % 案例变快</w:t>
      </w:r>
      <w:r>
        <w:rPr>
          <w:rFonts w:ascii="Times New Roman" w:hAnsi="Times New Roman" w:eastAsia="宋体"/>
          <w:sz w:val="24"/>
        </w:rPr>
        <w:t>），且移动量与清除失败次数不变、病理集 2 000 例 0 漏清。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30^circ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dc839ec85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φ(1000)≈601²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φ(1800)≈968²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"；由于接收半径下界恰为 1000 m，</w:t>
      </w:r>
      <w:r>
        <w:rPr>
          <w:rFonts w:ascii="Times New Roman" w:hAnsi="Times New Roman" w:eastAsia="宋体"/>
          <w:b/>
          <w:sz w:val="24"/>
        </w:rPr>
        <w:t>存在只被一个点接收的情形</w:t>
      </w:r>
      <w:r>
        <w:rPr>
          <w:rFonts w:ascii="Times New Roman" w:hAnsi="Times New Roman" w:eastAsia="宋体"/>
          <w:sz w:val="24"/>
        </w:rPr>
        <w:t xml:space="preserve">——反例：源恰位于某个环点上且 </w:t>
      </w:r>
      <w:r>
        <w:rPr>
          <w:rFonts w:ascii="Cambria Math" w:hAnsi="Cambria Math" w:eastAsia="宋体"/>
          <w:sz w:val="24"/>
        </w:rPr>
        <w:t>R꜀=1000</w:t>
      </w:r>
      <w:r>
        <w:rPr>
          <w:rFonts w:ascii="Times New Roman" w:hAnsi="Times New Roman" w:eastAsia="宋体"/>
          <w:sz w:val="24"/>
        </w:rPr>
        <w:t xml:space="preserve"> m，此时它到该环点距离为 0（返回 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>），到原点与相邻环点均为 1200 m，故只有 1 个点能接收。因此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点接收"；多数源确实会获得多站示向，但那是经验性的、非保证的。覆盖巡回在"固定这 7 个站点、从原点出发、终点自由"的条件下经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 </w:t>
      </w:r>
      <w:r>
        <w:rPr>
          <w:rFonts w:ascii="Times New Roman" w:hAnsi="Times New Roman" w:eastAsia="宋体"/>
          <w:b/>
          <w:sz w:val="24"/>
        </w:rPr>
        <w:t>7200 m 且为该条件下的最短路线</w:t>
      </w:r>
      <w:r>
        <w:rPr>
          <w:rFonts w:ascii="Times New Roman" w:hAnsi="Times New Roman" w:eastAsia="宋体"/>
          <w:sz w:val="24"/>
        </w:rPr>
        <w:t>（不声称是任意覆盖设计中的最短巡回）。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binary` 316 次全部成功（100 %）** = 13 786 ✓（早稿只列了前两类，差额 316 即第三类，容易被误读为统计不闭合）；880 次失败（6.4 %）经归航换示向补测后收回，故最终清除率仍为 100 %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覆盖半径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由 §5.1 的覆盖证明决定（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段的最坏距离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：相邻环点间距为 </w:t>
      </w:r>
      <w:r>
        <w:rPr>
          <w:rFonts w:ascii="Cambria Math" w:hAnsi="Cambria Math" w:eastAsia="宋体"/>
          <w:sz w:val="24"/>
        </w:rPr>
        <w:t>2R₀sin30^circ=1200</w:t>
      </w:r>
      <w:r>
        <w:rPr>
          <w:rFonts w:ascii="Times New Roman" w:hAnsi="Times New Roman" w:eastAsia="宋体"/>
          <w:sz w:val="24"/>
        </w:rPr>
        <w:t xml:space="preserve"> m，该式只约束"环上相邻点可互相补充接收"，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圆盘覆盖条件本身（早稿曾误用之）；本配置的完备性依据是上面的凸性端点论证，且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"6 点环在全部覆盖设计中点数最小"——只能说"在本文考察的点数–巡回权衡中，6 点环是满足覆盖保证的最小点数配置"。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网格几何优化（旧默认 → 最终最小覆盖设计）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（三角形证书）。因此网格设计的目标是"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 xml:space="preserve">"，其中扫描成本 </w:t>
      </w:r>
      <w:r>
        <w:rPr>
          <w:rFonts w:ascii="Cambria Math" w:hAnsi="Cambria Math" w:eastAsia="宋体"/>
          <w:sz w:val="24"/>
        </w:rPr>
        <w:t>≈</w:t>
      </w:r>
      <w:r>
        <w:rPr>
          <w:rFonts w:ascii="Times New Roman" w:hAnsi="Times New Roman" w:eastAsia="宋体"/>
          <w:sz w:val="24"/>
        </w:rPr>
        <w:t xml:space="preserve"> 巡回</w:t>
      </w:r>
      <w:r>
        <w:rPr>
          <w:rFonts w:ascii="Cambria Math" w:hAnsi="Cambria Math" w:eastAsia="宋体"/>
          <w:sz w:val="24"/>
        </w:rPr>
        <w:t>/5+20×5×</w:t>
      </w:r>
      <w:r>
        <w:rPr>
          <w:rFonts w:ascii="Times New Roman" w:hAnsi="Times New Roman" w:eastAsia="宋体"/>
          <w:sz w:val="24"/>
        </w:rPr>
        <w:t>点数。全程</w:t>
      </w:r>
      <w:r>
        <w:rPr>
          <w:rFonts w:ascii="Times New Roman" w:hAnsi="Times New Roman" w:eastAsia="宋体"/>
          <w:b/>
          <w:sz w:val="24"/>
        </w:rPr>
        <w:t>只改顶点集合几何，证书逻辑不变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b/>
                <w:sz w:val="19"/>
              </w:rPr>
              <w:t>900/800/θ0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最终：27 点最小覆盖设计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 / 最大边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 / 900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 / 910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固定扫描巡回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扫描成本（巡回/5 + 100×点数）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s（−12.8 %）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覆盖空洞（三区各 2 万采样，含 [1780,1800] 极致边界环）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0.0000 %（构造上无空洞）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定向可发现率 / 方向鲁棒判据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100 %（12 万点 $S\in\operatorname{conv}Q(S)$）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通过（27 项路径索引/证书/schema/固定种子）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最终设计 vs A 旧默认；同场景逐例配对，$n=400$）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387/400 例更快</w:t>
            </w:r>
            <w:r>
              <w:rPr>
                <w:rFonts w:ascii="Times New Roman" w:hAnsi="Times New Roman" w:eastAsia="宋体"/>
                <w:sz w:val="19"/>
              </w:rPr>
              <w:t xml:space="preserve">（中位 −1 080 s）；100 %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378/400 例更快</w:t>
            </w:r>
            <w:r>
              <w:rPr>
                <w:rFonts w:ascii="Times New Roman" w:hAnsi="Times New Roman" w:eastAsia="宋体"/>
                <w:sz w:val="19"/>
              </w:rPr>
              <w:t>（中位 −1 088 s）；两臂全清 100 %、零漏清、零空洞；检测 520.9→456.9 / 553.0→483.2 次·例</w:t>
            </w:r>
            <w:r>
              <w:rPr>
                <w:rFonts w:ascii="Cambria Math" w:hAnsi="Cambria Math" w:eastAsia="宋体"/>
                <w:sz w:val="19"/>
              </w:rPr>
              <w:t>⁻¹</w:t>
            </w:r>
            <w:r>
              <w:rPr>
                <w:rFonts w:ascii="Times New Roman" w:hAnsi="Times New Roman" w:eastAsia="宋体"/>
                <w:sz w:val="19"/>
              </w:rPr>
              <w:t>，移动 35 703→32 187 / 36 628→33 444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ablation4.py --mesh-paired 400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results/ablation4_CvsA.txt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历史版本链条（</w:t>
            </w:r>
            <w:r>
              <w:rPr>
                <w:rFonts w:ascii="Times New Roman" w:hAnsi="Times New Roman" w:eastAsia="宋体"/>
                <w:b/>
                <w:sz w:val="19"/>
              </w:rPr>
              <w:t>不作结论，仅供追溯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A(31 点 900/800/θ0) → B(稀疏外环+4 补齐 31 点)：离线 −5.6 % / −5.5 %；B → C：−5.2 % / −4.6 %；A → C（上表，唯一可直接引用的 A/B 对比）：−10.5 % / −9.9 %。</w:t>
            </w:r>
            <w:r>
              <w:rPr>
                <w:rFonts w:ascii="Times New Roman" w:hAnsi="Times New Roman" w:eastAsia="宋体"/>
                <w:b/>
                <w:sz w:val="19"/>
              </w:rPr>
              <w:t>三个比值口径不同、不可连乘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results/ablation4_mesh_paired.txt</w:t>
            </w:r>
            <w:r>
              <w:rPr>
                <w:rFonts w:ascii="Times New Roman" w:hAnsi="Times New Roman" w:eastAsia="宋体"/>
                <w:sz w:val="19"/>
              </w:rPr>
              <w:t>（B/C 两臂）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A/B（8 局，旧/新/新/旧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10 405.3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>；固定成本 8 062 → 6 910 s（−14.3 %）；</w:t>
            </w:r>
            <w:r>
              <w:rPr>
                <w:rFonts w:ascii="Times New Roman" w:hAnsi="Times New Roman" w:eastAsia="宋体"/>
                <w:b/>
                <w:sz w:val="19"/>
              </w:rPr>
              <w:t>8/8 全清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已知代价（极端压力类"全定向·边界外指"）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11 131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11 728 s（</w:t>
            </w:r>
            <w:r>
              <w:rPr>
                <w:rFonts w:ascii="Times New Roman" w:hAnsi="Times New Roman" w:eastAsia="宋体"/>
                <w:b/>
                <w:sz w:val="19"/>
              </w:rPr>
              <w:t>+5.4 %</w:t>
            </w:r>
            <w:r>
              <w:rPr>
                <w:rFonts w:ascii="Times New Roman" w:hAnsi="Times New Roman" w:eastAsia="宋体"/>
                <w:sz w:val="19"/>
              </w:rPr>
              <w:t>，最外环顶点更少所致）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为什么这不是"参数调优"</w:t>
      </w:r>
      <w:r>
        <w:rPr>
          <w:rFonts w:ascii="Times New Roman" w:hAnsi="Times New Roman" w:eastAsia="楷体"/>
          <w:color w:val="333333"/>
          <w:sz w:val="21"/>
        </w:rPr>
        <w:t>：最终方案是</w:t>
      </w:r>
      <w:r>
        <w:rPr>
          <w:rFonts w:ascii="Times New Roman" w:hAnsi="Times New Roman" w:eastAsia="楷体"/>
          <w:b/>
          <w:color w:val="333333"/>
          <w:sz w:val="21"/>
        </w:rPr>
        <w:t>完整三角格点块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ambria Math" w:hAnsi="Cambria Math" w:eastAsia="楷体"/>
          <w:color w:val="333333"/>
          <w:sz w:val="21"/>
        </w:rPr>
        <w:t>a=910</w:t>
      </w:r>
      <w:r>
        <w:rPr>
          <w:rFonts w:ascii="Times New Roman" w:hAnsi="Times New Roman" w:eastAsia="楷体"/>
          <w:color w:val="333333"/>
          <w:sz w:val="21"/>
        </w:rPr>
        <w:t xml:space="preserve"> m、</w:t>
      </w:r>
      <w:r>
        <w:rPr>
          <w:rFonts w:ascii="Cambria Math" w:hAnsi="Cambria Math" w:eastAsia="楷体"/>
          <w:color w:val="333333"/>
          <w:sz w:val="21"/>
        </w:rPr>
        <w:t>θ=30^circ</w:t>
      </w:r>
      <w:r>
        <w:rPr>
          <w:rFonts w:ascii="Times New Roman" w:hAnsi="Times New Roman" w:eastAsia="楷体"/>
          <w:color w:val="333333"/>
          <w:sz w:val="21"/>
        </w:rPr>
        <w:t xml:space="preserve">、外扩 2412 m、平移 </w:t>
      </w:r>
      <w:r>
        <w:rPr>
          <w:rFonts w:ascii="Cambria Math" w:hAnsi="Cambria Math" w:eastAsia="楷体"/>
          <w:color w:val="333333"/>
          <w:sz w:val="21"/>
        </w:rPr>
        <w:t>(460,0)</w:t>
      </w:r>
      <w:r>
        <w:rPr>
          <w:rFonts w:ascii="Times New Roman" w:hAnsi="Times New Roman" w:eastAsia="楷体"/>
          <w:color w:val="333333"/>
          <w:sz w:val="21"/>
        </w:rPr>
        <w:t>），其</w:t>
      </w:r>
      <w:r>
        <w:rPr>
          <w:rFonts w:ascii="Times New Roman" w:hAnsi="Times New Roman" w:eastAsia="楷体"/>
          <w:b/>
          <w:color w:val="333333"/>
          <w:sz w:val="21"/>
        </w:rPr>
        <w:t>三角剖分的并集 = 该点块的凸包 $\supseteq$ 圆盘</w:t>
      </w:r>
      <w:r>
        <w:rPr>
          <w:rFonts w:ascii="Times New Roman" w:hAnsi="Times New Roman" w:eastAsia="楷体"/>
          <w:color w:val="333333"/>
          <w:sz w:val="21"/>
        </w:rPr>
        <w:t>，故从构造上不存在最外环薄空洞。搜索过程、成本公式与另外两个候选（#2 证书核提前停止、#3 Or-opt 巡回升级，均</w:t>
      </w:r>
      <w:r>
        <w:rPr>
          <w:rFonts w:ascii="Times New Roman" w:hAnsi="Times New Roman" w:eastAsia="楷体"/>
          <w:b/>
          <w:color w:val="333333"/>
          <w:sz w:val="21"/>
        </w:rPr>
        <w:t>实测否决</w:t>
      </w:r>
      <w:r>
        <w:rPr>
          <w:rFonts w:ascii="Times New Roman" w:hAnsi="Times New Roman" w:eastAsia="楷体"/>
          <w:color w:val="333333"/>
          <w:sz w:val="21"/>
        </w:rPr>
        <w:t>）见 §6.2bis。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一处必须记录的教训（原稿缺陷）</w:t>
      </w:r>
      <w:r>
        <w:rPr>
          <w:rFonts w:ascii="Times New Roman" w:hAnsi="Times New Roman" w:eastAsia="楷体"/>
          <w:color w:val="333333"/>
          <w:sz w:val="21"/>
        </w:rPr>
        <w:t xml:space="preserve">：中间版本（稀疏外环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>）才暴露它。复现例（该类第 123 例）中：该源不属于任何三角形，故"所有三角形被证伪 ⟹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不处理）造成漏清。中间版本先以补点（+2/+4 点）修补，最终由</w:t>
      </w:r>
      <w:r>
        <w:rPr>
          <w:rFonts w:ascii="Times New Roman" w:hAnsi="Times New Roman" w:eastAsia="楷体"/>
          <w:b/>
          <w:color w:val="333333"/>
          <w:sz w:val="21"/>
        </w:rPr>
        <w:t>最小覆盖设计从构造上消除</w:t>
      </w:r>
      <w:r>
        <w:rPr>
          <w:rFonts w:ascii="Times New Roman" w:hAnsi="Times New Roman" w:eastAsia="楷体"/>
          <w:color w:val="333333"/>
          <w:sz w:val="21"/>
        </w:rPr>
        <w:t>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 xml:space="preserve">断言"空洞处的真实方向覆盖必然失效"（见 §6.1 措辞收紧）。 </w:t>
      </w:r>
      <w:r>
        <w:rPr>
          <w:rFonts w:ascii="Times New Roman" w:hAnsi="Times New Roman" w:eastAsia="楷体"/>
          <w:b/>
          <w:color w:val="333333"/>
          <w:sz w:val="21"/>
        </w:rPr>
        <w:t>历史版本（仅供追溯，不参与最终结论）</w:t>
      </w:r>
      <w:r>
        <w:rPr>
          <w:rFonts w:ascii="Times New Roman" w:hAnsi="Times New Roman" w:eastAsia="楷体"/>
          <w:color w:val="333333"/>
          <w:sz w:val="21"/>
        </w:rPr>
        <w:t xml:space="preserve">：稀疏外环 27 点（未覆盖 0.0892 %）→ +2 补齐点 29 点（0.0220 %，离线 −7.5 %）→ +4 补齐点 31 点（0.0000 %，离线 −5.6 %）→ </w:t>
      </w:r>
      <w:r>
        <w:rPr>
          <w:rFonts w:ascii="Times New Roman" w:hAnsi="Times New Roman" w:eastAsia="楷体"/>
          <w:b/>
          <w:color w:val="333333"/>
          <w:sz w:val="21"/>
        </w:rPr>
        <w:t>最终最小覆盖设计 27 点（构造上 0 空洞，离线 −5.2 %/−4.6 %、实机 −11.6 %）</w:t>
      </w:r>
      <w:r>
        <w:rPr>
          <w:rFonts w:ascii="Times New Roman" w:hAnsi="Times New Roman" w:eastAsia="楷体"/>
          <w:color w:val="333333"/>
          <w:sz w:val="21"/>
        </w:rPr>
        <w:t>。各中间版本的完整数字、配对结果与证据文件见 §6.2bis 与附录 D。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最小覆盖设计（最终网格）与两个被实验否决的候选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 vs A 旧默认；逐例真配对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A/B（最终 27 点设计 vs 旧默认 31 点；8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例，最终 27 点网格）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官方模拟器在环复核（最终配置，12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最终配置</w:t>
      </w:r>
      <w:r>
        <w:rPr>
          <w:rFonts w:ascii="Times New Roman" w:hAnsi="Times New Roman" w:eastAsia="宋体"/>
          <w:sz w:val="24"/>
        </w:rPr>
        <w:t>（27 点最小覆盖设计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