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点；此配置由初版"原点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点"经</w:t>
      </w:r>
      <w:r>
        <w:rPr>
          <w:rFonts w:ascii="Times New Roman" w:hAnsi="Times New Roman" w:eastAsia="宋体"/>
          <w:b/>
          <w:sz w:val="24"/>
        </w:rPr>
        <w:t>半径–点数配对扫描</w:t>
      </w:r>
      <w:r>
        <w:rPr>
          <w:rFonts w:ascii="Times New Roman" w:hAnsi="Times New Roman" w:eastAsia="宋体"/>
          <w:sz w:val="24"/>
        </w:rPr>
        <w:t>替换，见 §5.5）并给出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点接收"；采纳版另把"仅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例零漏清；官方模拟器在环两臂各 20 局</w:t>
      </w:r>
      <w:r>
        <w:rPr>
          <w:rFonts w:ascii="Times New Roman" w:hAnsi="Times New Roman" w:eastAsia="宋体"/>
          <w:b/>
          <w:sz w:val="24"/>
        </w:rPr>
        <w:t>均 20/20 全清、零未解决</w:t>
      </w:r>
      <w:r>
        <w:rPr>
          <w:rFonts w:ascii="Times New Roman" w:hAnsi="Times New Roman" w:eastAsia="宋体"/>
          <w:sz w:val="24"/>
        </w:rPr>
        <w:t xml:space="preserve">，阶段机制与离线一致（覆盖段多花约 502 s、补测段省约 454 s，源数校正后总时间估计节省约 190 s、CI </w:t>
      </w:r>
      <w:r>
        <w:rPr>
          <w:rFonts w:ascii="Cambria Math" w:hAnsi="Cambria Math" w:eastAsia="宋体"/>
          <w:sz w:val="24"/>
        </w:rPr>
        <w:t>[-127,507]</w:t>
      </w:r>
      <w:r>
        <w:rPr>
          <w:rFonts w:ascii="Times New Roman" w:hAnsi="Times New Roman" w:eastAsia="宋体"/>
          <w:sz w:val="24"/>
        </w:rPr>
        <w:t xml:space="preserve"> 不显著，故效应量以离线真配对为准）。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</w:t>
      </w:r>
      <w:r>
        <w:rPr>
          <w:rFonts w:ascii="Times New Roman" w:hAnsi="Times New Roman" w:eastAsia="宋体"/>
          <w:sz w:val="24"/>
        </w:rPr>
        <w:t>已按 §5.5 更新为采纳配置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的 9 点，共 10 点（§5.1 初版为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点；该配置已在 §5.5 中被配对实验替换，结论与证明结构完全同构）。设源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采纳版把"最坏情形"显著推远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认证判据正确率（关键指标，采纳前配置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100 %（采纳配置下的对应诊断见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定位调用结构（采纳前配置）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覆盖环（已按 §5.5 重设计并采纳）</w:t>
      </w:r>
      <w:r>
        <w:rPr>
          <w:rFonts w:ascii="Times New Roman" w:hAnsi="Times New Roman" w:eastAsia="宋体"/>
          <w:sz w:val="24"/>
        </w:rPr>
        <w:t xml:space="preserve">：初版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m，余量约 180 m，总时间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点环在全部覆盖设计中点数最小"，只能说"在本文考察的半径–点数网格上，它是帕累托占优的"。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覆盖环的"半径–点数"稳健性再设计（**已采纳**：1150 m × 9 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门禁核验（采纳依据，配置已写入代码与冻结字典）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 xml:space="preserve">——该几何下覆盖环几乎用不到，而多出的 3 个站点仍要付出扫描开销。由于该类别在题设（源随机分布于 </w:t>
      </w:r>
      <w:r>
        <w:rPr>
          <w:rFonts w:ascii="Cambria Math" w:hAnsi="Cambria Math" w:eastAsia="宋体"/>
          <w:sz w:val="24"/>
        </w:rPr>
        <w:t>R≤1800</w:t>
      </w:r>
      <w:r>
        <w:rPr>
          <w:rFonts w:ascii="Times New Roman" w:hAnsi="Times New Roman" w:eastAsia="宋体"/>
          <w:sz w:val="24"/>
        </w:rPr>
        <w:t xml:space="preserve"> m 圆盘）中出现概率低，且总时间与病理集合计均显著改善，故仍予采纳。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局；`loop_batch.ps1` + `loop_compare.py`）</w:t>
      </w:r>
      <w:r>
        <w:rPr>
          <w:rFonts w:ascii="Times New Roman" w:hAnsi="Times New Roman" w:eastAsia="宋体"/>
          <w:sz w:val="24"/>
        </w:rPr>
        <w:t>：把采纳配置（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点）与回退配置（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点，即原冻结版）在同一模拟器上各跑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采纳（1150×9）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回退（1200×6）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12.65（10–16）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4 234.4 s、中位 4 212、SD 327.6、CV 7.74 %、范围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4 725、SD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15 383 m</w:t>
            </w:r>
            <w:r>
              <w:rPr>
                <w:rFonts w:ascii="Times New Roman" w:hAnsi="Times New Roman" w:eastAsia="宋体"/>
                <w:sz w:val="19"/>
              </w:rPr>
              <w:t xml:space="preserve">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：两臂随机场景无法配对，且源数分布不同（12.65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468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810704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cf74bb495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1070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臂（采纳配置）估计节省约 190 s，但在当前 20 局/臂的样本下并不显著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t=1.17</w:t>
      </w:r>
      <w:r>
        <w:rPr>
          <w:rFonts w:ascii="Times New Roman" w:hAnsi="Times New Roman" w:eastAsia="宋体"/>
          <w:sz w:val="24"/>
        </w:rPr>
        <w:t>，区间跨 0）。按源归一会得到相反符号（A 334.7 vs B 322.7 s/源，因为 B 平均多 1.8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源数校正后臂效应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mathbf+502.2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[+414.7,+589.8]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502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mathbf-454.0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[-588.4,-319.7]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t=-6.63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454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-135.7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[-237.2,-34.2]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t=-2.62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1 488 / 18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+176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+89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-7.2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-94.7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573-42=531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454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采纳配置用"覆盖段多花约 502 s"换来"补测段省约 454 s + 顺路段省约 136 s + 归航段省约 95 s"</w:t>
      </w:r>
      <w:r>
        <w:rPr>
          <w:rFonts w:ascii="Times New Roman" w:hAnsi="Times New Roman" w:eastAsia="宋体"/>
          <w:sz w:val="24"/>
        </w:rPr>
        <w:t>，点估计净省约 190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7.74 %——后者本文只称"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局宣布方差显著下降</w:t>
      </w:r>
      <w:r>
        <w:rPr>
          <w:rFonts w:ascii="Times New Roman" w:hAnsi="Times New Roman" w:eastAsia="宋体"/>
          <w:sz w:val="24"/>
        </w:rPr>
        <w:t>。B 臂在环均值 4 663 s 与历史归档（采纳前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。若正式测试前需要工程稳定性验证，应单独定义为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（仅 A 臂连跑 10–20 局，只检查：是否全清、是否出现 HTTP 拒绝或异常、是否有未解决频道、最大时间是否越过 4 897 s、日志/退出摘要/配置是否完整），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早于本次采纳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本次采纳后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8e5f558c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962d64118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22b6dcba0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d64d2b50c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4b837a597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同时改善余量与时间</w:t>
      </w:r>
      <w:r>
        <w:rPr>
          <w:rFonts w:ascii="Times New Roman" w:hAnsi="Times New Roman" w:eastAsia="宋体"/>
          <w:sz w:val="24"/>
        </w:rPr>
        <w:t>的方向（采纳），而问题四在同一类分析中只得到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ff3c63526f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3ed8d2007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采纳配置(10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采纳配置病理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