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点；此配置是初版"原点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点"的</w:t>
      </w:r>
      <w:r>
        <w:rPr>
          <w:rFonts w:ascii="Times New Roman" w:hAnsi="Times New Roman" w:eastAsia="宋体"/>
          <w:b/>
          <w:sz w:val="24"/>
        </w:rPr>
        <w:t>离线更优候选</w:t>
      </w:r>
      <w:r>
        <w:rPr>
          <w:rFonts w:ascii="Times New Roman" w:hAnsi="Times New Roman" w:eastAsia="宋体"/>
          <w:sz w:val="24"/>
        </w:rPr>
        <w:t>（由半径–点数配对扫描得到，见 §5.5；</w:t>
      </w:r>
      <w:r>
        <w:rPr>
          <w:rFonts w:ascii="Times New Roman" w:hAnsi="Times New Roman" w:eastAsia="宋体"/>
          <w:b/>
          <w:sz w:val="24"/>
        </w:rPr>
        <w:t>实机总时间优势尚未确认</w:t>
      </w:r>
      <w:r>
        <w:rPr>
          <w:rFonts w:ascii="Times New Roman" w:hAnsi="Times New Roman" w:eastAsia="宋体"/>
          <w:sz w:val="24"/>
        </w:rPr>
        <w:t>））并给出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点接收"；候选版另把"仅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例零漏清；官方模拟器在环两臂各 20 局</w:t>
      </w:r>
      <w:r>
        <w:rPr>
          <w:rFonts w:ascii="Times New Roman" w:hAnsi="Times New Roman" w:eastAsia="宋体"/>
          <w:b/>
          <w:sz w:val="24"/>
        </w:rPr>
        <w:t>均 20/20 全清、零未解决</w:t>
      </w:r>
      <w:r>
        <w:rPr>
          <w:rFonts w:ascii="Times New Roman" w:hAnsi="Times New Roman" w:eastAsia="宋体"/>
          <w:sz w:val="24"/>
        </w:rPr>
        <w:t xml:space="preserve">，阶段机制与离线一致（覆盖段多花约 502 s、补测段省约 454 s，源数校正后总时间估计节省约 190 s、CI </w:t>
      </w:r>
      <w:r>
        <w:rPr>
          <w:rFonts w:ascii="Cambria Math" w:hAnsi="Cambria Math" w:eastAsia="宋体"/>
          <w:sz w:val="24"/>
        </w:rPr>
        <w:t>[-127,507]</w:t>
      </w:r>
      <w:r>
        <w:rPr>
          <w:rFonts w:ascii="Times New Roman" w:hAnsi="Times New Roman" w:eastAsia="宋体"/>
          <w:sz w:val="24"/>
        </w:rPr>
        <w:t xml:space="preserve"> 不显著，故效应量以离线真配对为准；</w:t>
      </w:r>
      <w:r>
        <w:rPr>
          <w:rFonts w:ascii="Times New Roman" w:hAnsi="Times New Roman" w:eastAsia="宋体"/>
          <w:b/>
          <w:sz w:val="24"/>
        </w:rPr>
        <w:t>该候选的实机总时间优势尚未确认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覆盖环的"半径–点数"再设计：**离线更优的候选 1150 m × 9 点**（鲁棒余量必然改善，实机时间优势**未确认**）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573-42=531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454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