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点；此配置由初版"原点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点"经</w:t>
      </w:r>
      <w:r>
        <w:rPr>
          <w:rFonts w:ascii="Times New Roman" w:hAnsi="Times New Roman" w:eastAsia="宋体"/>
          <w:b/>
          <w:sz w:val="24"/>
        </w:rPr>
        <w:t>半径–点数配对扫描</w:t>
      </w:r>
      <w:r>
        <w:rPr>
          <w:rFonts w:ascii="Times New Roman" w:hAnsi="Times New Roman" w:eastAsia="宋体"/>
          <w:sz w:val="24"/>
        </w:rPr>
        <w:t>替换，见 §5.5）并给出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点接收"；采纳版另把"仅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例零漏清，66 局官方模拟器在环测试（初版配置）全部全清、零未解决。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</w:t>
      </w:r>
      <w:r>
        <w:rPr>
          <w:rFonts w:ascii="Times New Roman" w:hAnsi="Times New Roman" w:eastAsia="宋体"/>
          <w:sz w:val="24"/>
        </w:rPr>
        <w:t>已按 §5.5 更新为采纳配置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的 9 点，共 10 点（§5.1 初版为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点；该配置已在 §5.5 中被配对实验替换，结论与证明结构完全同构）。设源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采纳版把"最坏情形"显著推远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认证判据正确率（关键指标，采纳前配置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100 %（采纳配置下的对应诊断见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定位调用结构（采纳前配置）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覆盖环（已按 §5.5 重设计并采纳）</w:t>
      </w:r>
      <w:r>
        <w:rPr>
          <w:rFonts w:ascii="Times New Roman" w:hAnsi="Times New Roman" w:eastAsia="宋体"/>
          <w:sz w:val="24"/>
        </w:rPr>
        <w:t xml:space="preserve">：初版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m，余量约 180 m，总时间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点环在全部覆盖设计中点数最小"，只能说"在本文考察的半径–点数网格上，它是帕累托占优的"。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覆盖环的"半径–点数"稳健性再设计（**已采纳**：1150 m × 9 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门禁核验（采纳依据，配置已写入代码与冻结字典）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 xml:space="preserve">——该几何下覆盖环几乎用不到，而多出的 3 个站点仍要付出扫描开销。由于该类别在题设（源随机分布于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圆盘）中出现概率低，且总时间与病理集合计均显著改善，故仍予采纳。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早于本次采纳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本次采纳后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22b6dcba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点）。故"少于 27 点"在同等强度下最多到约 </w:t>
      </w:r>
      <w:r>
        <w:rPr>
          <w:rFonts w:ascii="Times New Roman" w:hAnsi="Times New Roman" w:eastAsia="宋体"/>
          <w:b/>
          <w:sz w:val="24"/>
        </w:rPr>
        <w:t>20–24 点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 xml:space="preserve">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即几何已无余量：站数下降带来的收益被巡回增长抵消。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 xml:space="preserve">思想对应问题四的"覆盖余量量化"：本设计支撑边余量 6.17 m、边长余量 90 m，即"以界为证"而非"以点代面"；③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4b837a597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采纳配置(10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采纳配置病理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