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点；此配置由初版"原点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点"经</w:t>
      </w:r>
      <w:r>
        <w:rPr>
          <w:rFonts w:ascii="Times New Roman" w:hAnsi="Times New Roman" w:eastAsia="宋体"/>
          <w:b/>
          <w:sz w:val="24"/>
        </w:rPr>
        <w:t>半径–点数配对扫描</w:t>
      </w:r>
      <w:r>
        <w:rPr>
          <w:rFonts w:ascii="Times New Roman" w:hAnsi="Times New Roman" w:eastAsia="宋体"/>
          <w:sz w:val="24"/>
        </w:rPr>
        <w:t>替换，见 §5.5）并给出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点接收"；采纳版另把"仅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例零漏清，66 局官方模拟器在环测试（初版配置）全部全清、零未解决。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</w:t>
      </w:r>
      <w:r>
        <w:rPr>
          <w:rFonts w:ascii="Times New Roman" w:hAnsi="Times New Roman" w:eastAsia="宋体"/>
          <w:sz w:val="24"/>
        </w:rPr>
        <w:t>已按 §5.5 更新为采纳配置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的 9 点，共 10 点（§5.1 初版为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点；该配置已在 §5.5 中被配对实验替换，结论与证明结构完全同构）。设源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采纳版把"最坏情形"显著推远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认证判据正确率（关键指标，采纳前配置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100 %（采纳配置下的对应诊断见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定位调用结构（采纳前配置）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覆盖环（已按 §5.5 重设计并采纳）</w:t>
      </w:r>
      <w:r>
        <w:rPr>
          <w:rFonts w:ascii="Times New Roman" w:hAnsi="Times New Roman" w:eastAsia="宋体"/>
          <w:sz w:val="24"/>
        </w:rPr>
        <w:t xml:space="preserve">：初版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m，余量约 180 m，总时间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点环在全部覆盖设计中点数最小"，只能说"在本文考察的半径–点数网格上，它是帕累托占优的"。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覆盖环的"半径–点数"稳健性再设计（**已采纳**：1150 m × 9 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门禁核验（采纳依据，配置已写入代码与冻结字典）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 xml:space="preserve">——该几何下覆盖环几乎用不到，而多出的 3 个站点仍要付出扫描开销。由于该类别在题设（源随机分布于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圆盘）中出现概率低，且总时间与病理集合计均显著改善，故仍予采纳。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早于本次采纳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本次采纳后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22b6dcba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>该启发式估计"最多到约 20–24 点"已被 §6.12 的充要判据检验取代并收紧：在 V4 上删除任意一个站点都会使充要判据失效（余量 $+10.40\to-91.88$ m），故"在 V4 上减站"收益为 0；"是否存在其它 22–26 点布局"仍未证明。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4b837a597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同时改善余量与时间</w:t>
      </w:r>
      <w:r>
        <w:rPr>
          <w:rFonts w:ascii="Times New Roman" w:hAnsi="Times New Roman" w:eastAsia="宋体"/>
          <w:sz w:val="24"/>
        </w:rPr>
        <w:t>的方向（采纳），而问题四在同一类分析中只得到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用"充要判据"重估站数下界：V4 的 27 个站点**全部承重**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ff3c63526f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3ed8d2007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</w:t>
      </w:r>
      <w:r>
        <w:rPr>
          <w:rFonts w:ascii="Times New Roman" w:hAnsi="Times New Roman" w:eastAsia="宋体"/>
          <w:b/>
          <w:sz w:val="24"/>
        </w:rPr>
        <w:t>精确结论</w:t>
      </w:r>
      <w:r>
        <w:rPr>
          <w:rFonts w:ascii="Times New Roman" w:hAnsi="Times New Roman" w:eastAsia="宋体"/>
          <w:sz w:val="24"/>
        </w:rPr>
        <w:t>（不依赖采样）。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V4（27 点）逐方向精确核验（180 个方向）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m（即</w:t>
            </w:r>
            <w:r>
              <w:rPr>
                <w:rFonts w:ascii="Times New Roman" w:hAnsi="Times New Roman" w:eastAsia="宋体"/>
                <w:b/>
                <w:sz w:val="19"/>
              </w:rPr>
              <w:t>未发现任何违例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连续余量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mathbf+10.40</w:t>
            </w:r>
            <w:r>
              <w:rPr>
                <w:rFonts w:ascii="Times New Roman" w:hAnsi="Times New Roman" w:eastAsia="宋体"/>
                <w:sz w:val="19"/>
              </w:rPr>
              <w:t xml:space="preserve"> m；最紧处 </w:t>
            </w:r>
            <w:r>
              <w:rPr>
                <w:rFonts w:ascii="Cambria Math" w:hAnsi="Cambria Math" w:eastAsia="宋体"/>
                <w:sz w:val="19"/>
              </w:rPr>
              <w:t>G=(-1559,,900)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lvert Grvert=1800</w:t>
            </w:r>
            <w:r>
              <w:rPr>
                <w:rFonts w:ascii="Times New Roman" w:hAnsi="Times New Roman" w:eastAsia="宋体"/>
                <w:sz w:val="19"/>
              </w:rPr>
              <w:t xml:space="preserve"> m，圆盘边界），该点子集 4 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删除任意 1 个站点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余量从 </w:t>
            </w:r>
            <w:r>
              <w:rPr>
                <w:rFonts w:ascii="Cambria Math" w:hAnsi="Cambria Math" w:eastAsia="宋体"/>
                <w:sz w:val="19"/>
              </w:rPr>
              <w:t>+10.40</w:t>
            </w:r>
            <w:r>
              <w:rPr>
                <w:rFonts w:ascii="Times New Roman" w:hAnsi="Times New Roman" w:eastAsia="宋体"/>
                <w:sz w:val="19"/>
              </w:rPr>
              <w:t xml:space="preserve"> m 变为</w:t>
            </w:r>
            <w:r>
              <w:rPr>
                <w:rFonts w:ascii="Times New Roman" w:hAnsi="Times New Roman" w:eastAsia="宋体"/>
                <w:b/>
                <w:sz w:val="19"/>
              </w:rPr>
              <w:t>最不坏 $-91.88$ m</w:t>
            </w:r>
            <w:r>
              <w:rPr>
                <w:rFonts w:ascii="Times New Roman" w:hAnsi="Times New Roman" w:eastAsia="宋体"/>
                <w:sz w:val="19"/>
              </w:rPr>
              <w:t>（粗网格下的最优删除方案），即</w:t>
            </w:r>
            <w:r>
              <w:rPr>
                <w:rFonts w:ascii="Times New Roman" w:hAnsi="Times New Roman" w:eastAsia="宋体"/>
                <w:b/>
                <w:sz w:val="19"/>
              </w:rPr>
              <w:t>任一站点都是承重的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27→26</w:t>
            </w:r>
            <w:r>
              <w:rPr>
                <w:rFonts w:ascii="Times New Roman" w:hAnsi="Times New Roman" w:eastAsia="宋体"/>
                <w:sz w:val="19"/>
              </w:rPr>
              <w:t xml:space="preserve"> 直接使充要判据失效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FAIL</w:t>
            </w:r>
            <w:r>
              <w:rPr>
                <w:rFonts w:ascii="Times New Roman" w:hAnsi="Times New Roman" w:eastAsia="宋体"/>
                <w:sz w:val="19"/>
              </w:rPr>
              <w:t xml:space="preserve">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）——中心区域不被任何站包围，验证了核验器确实能抓出违例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>：① 站数降到 26 已经</w:t>
      </w:r>
      <w:r>
        <w:rPr>
          <w:rFonts w:ascii="Times New Roman" w:hAnsi="Times New Roman" w:eastAsia="宋体"/>
          <w:b/>
          <w:sz w:val="24"/>
        </w:rPr>
        <w:t>不可行</w:t>
      </w:r>
      <w:r>
        <w:rPr>
          <w:rFonts w:ascii="Times New Roman" w:hAnsi="Times New Roman" w:eastAsia="宋体"/>
          <w:sz w:val="24"/>
        </w:rPr>
        <w:t>（不是一个站"可省但省得少"，而是</w:t>
      </w:r>
      <w:r>
        <w:rPr>
          <w:rFonts w:ascii="Times New Roman" w:hAnsi="Times New Roman" w:eastAsia="宋体"/>
          <w:b/>
          <w:sz w:val="24"/>
        </w:rPr>
        <w:t>每个站都不可省</w:t>
      </w:r>
      <w:r>
        <w:rPr>
          <w:rFonts w:ascii="Times New Roman" w:hAnsi="Times New Roman" w:eastAsia="宋体"/>
          <w:sz w:val="24"/>
        </w:rPr>
        <w:t>），这比 §6.7 的"20–24 站"启发式下界</w:t>
      </w:r>
      <w:r>
        <w:rPr>
          <w:rFonts w:ascii="Times New Roman" w:hAnsi="Times New Roman" w:eastAsia="宋体"/>
          <w:b/>
          <w:sz w:val="24"/>
        </w:rPr>
        <w:t>更强也更强硬</w:t>
      </w:r>
      <w:r>
        <w:rPr>
          <w:rFonts w:ascii="Times New Roman" w:hAnsi="Times New Roman" w:eastAsia="宋体"/>
          <w:sz w:val="24"/>
        </w:rPr>
        <w:t xml:space="preserve">；② 充要判据给出的余量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与充分判据的支撑边余量 $10.395$ m 在数值上一致</w:t>
      </w:r>
      <w:r>
        <w:rPr>
          <w:rFonts w:ascii="Times New Roman" w:hAnsi="Times New Roman" w:eastAsia="宋体"/>
          <w:sz w:val="24"/>
        </w:rPr>
        <w:t>——两套互不相同的代码路径（</w:t>
      </w:r>
      <w:r>
        <w:rPr>
          <w:rFonts w:ascii="Consolas" w:hAnsi="Consolas" w:eastAsia="Consolas"/>
          <w:sz w:val="21"/>
        </w:rPr>
        <w:t>station_opt.certificate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hull_margin.signed_margin</w:t>
      </w:r>
      <w:r>
        <w:rPr>
          <w:rFonts w:ascii="Times New Roman" w:hAnsi="Times New Roman" w:eastAsia="宋体"/>
          <w:sz w:val="24"/>
        </w:rPr>
        <w:t>）得到同一数字，说明</w:t>
      </w:r>
      <w:r>
        <w:rPr>
          <w:rFonts w:ascii="Times New Roman" w:hAnsi="Times New Roman" w:eastAsia="宋体"/>
          <w:b/>
          <w:sz w:val="24"/>
        </w:rPr>
        <w:t>充分判据在本设计上是紧的</w:t>
      </w:r>
      <w:r>
        <w:rPr>
          <w:rFonts w:ascii="Times New Roman" w:hAnsi="Times New Roman" w:eastAsia="宋体"/>
          <w:sz w:val="24"/>
        </w:rPr>
        <w:t>，即"V3→V4 的几何已无余量"这一判断既不是采样假象、也不是保守判据的产物；③ 因此"减少站数换取时间"这一方向的收益</w:t>
      </w:r>
      <w:r>
        <w:rPr>
          <w:rFonts w:ascii="Times New Roman" w:hAnsi="Times New Roman" w:eastAsia="宋体"/>
          <w:b/>
          <w:sz w:val="24"/>
        </w:rPr>
        <w:t>在 V4 上不是 2.2 %、而是 0</w:t>
      </w:r>
      <w:r>
        <w:rPr>
          <w:rFonts w:ascii="Times New Roman" w:hAnsi="Times New Roman" w:eastAsia="宋体"/>
          <w:sz w:val="24"/>
        </w:rPr>
        <w:t>（无可行解）；只有</w:t>
      </w:r>
      <w:r>
        <w:rPr>
          <w:rFonts w:ascii="Times New Roman" w:hAnsi="Times New Roman" w:eastAsia="宋体"/>
          <w:b/>
          <w:sz w:val="24"/>
        </w:rPr>
        <w:t>重新设计</w:t>
      </w:r>
      <w:r>
        <w:rPr>
          <w:rFonts w:ascii="Times New Roman" w:hAnsi="Times New Roman" w:eastAsia="宋体"/>
          <w:sz w:val="24"/>
        </w:rPr>
        <w:t>一个点数更少、且满足充要判据的新布局才可能有收益，但那已超出"在 V4 上微调"的范围，本文不再声称其存在性。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逐方向核验的方向集是 180 个离散方向（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 间隔），严格证明需在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 xml:space="preserve"> 的联合空间上做有限分割（圆–圆、圆–边界事件 + 主动约束枚举），本文</w:t>
      </w:r>
      <w:r>
        <w:rPr>
          <w:rFonts w:ascii="Times New Roman" w:hAnsi="Times New Roman" w:eastAsia="宋体"/>
          <w:b/>
          <w:sz w:val="24"/>
        </w:rPr>
        <w:t>未完成</w:t>
      </w:r>
      <w:r>
        <w:rPr>
          <w:rFonts w:ascii="Times New Roman" w:hAnsi="Times New Roman" w:eastAsia="宋体"/>
          <w:sz w:val="24"/>
        </w:rPr>
        <w:t xml:space="preserve">该证明，故结论表述为"在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 方向网格下未发现违例"；② "余量 +10.40 m" 的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是网格上的最小值，真实最小值不高于该数（网格给的是上界），但因为充要判据是</w:t>
      </w:r>
      <w:r>
        <w:rPr>
          <w:rFonts w:ascii="Times New Roman" w:hAnsi="Times New Roman" w:eastAsia="宋体"/>
          <w:b/>
          <w:sz w:val="24"/>
        </w:rPr>
        <w:t>开条件</w:t>
      </w:r>
      <w:r>
        <w:rPr>
          <w:rFonts w:ascii="Times New Roman" w:hAnsi="Times New Roman" w:eastAsia="宋体"/>
          <w:sz w:val="24"/>
        </w:rPr>
        <w:t>（违例要求落在凸包外），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的余量已足以判定成立；③ "任何其它 22–26 点布局都不可行"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，本文只证明"</w:t>
      </w:r>
      <w:r>
        <w:rPr>
          <w:rFonts w:ascii="Times New Roman" w:hAnsi="Times New Roman" w:eastAsia="宋体"/>
          <w:b/>
          <w:sz w:val="24"/>
        </w:rPr>
        <w:t>从 V4 删除任何站点都不可行</w:t>
      </w:r>
      <w:r>
        <w:rPr>
          <w:rFonts w:ascii="Times New Roman" w:hAnsi="Times New Roman" w:eastAsia="宋体"/>
          <w:sz w:val="24"/>
        </w:rPr>
        <w:t>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采纳配置(10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采纳配置病理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