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jc w:val="center"/>
      </w:pPr>
      <w:r>
        <w:rPr>
          <w:rFonts w:ascii="黑体" w:hAnsi="黑体" w:eastAsia="黑体" w:cs="黑体"/>
          <w:b/>
          <w:sz w:val="36"/>
        </w:rPr>
        <w:t>有界测向误差下干扰源的确定性区域定位与机器人覆盖清除</w:t>
      </w:r>
    </w:p>
    <w:p>
      <w:pPr>
        <w:pStyle w:val="Heading1"/>
        <w:ind w:firstLine="0"/>
      </w:pPr>
      <w:r>
        <w:t>摘要</w:t>
      </w:r>
    </w:p>
    <w:p>
      <w:r>
        <w:rPr>
          <w:rFonts w:ascii="宋体" w:hAnsi="宋体" w:eastAsia="宋体" w:cs="宋体"/>
          <w:sz w:val="21"/>
        </w:rPr>
        <w:t>针对圆形场地内干扰源的测向定位、观测点选择及机器人自主清除问题，本文建立了一套由确定性可行域贯穿四问的统一模型。首先，将单次带有 ±1° 有界误差的示向观测表示为前向角域，并与半径 1800 m 的场地圆盘及其他观测的角域相交，得到真实源位置的可行区域 Ω。利用半平面等价表示和自适应网格内外包络，计算 Ω 的面积、直径、最小覆盖圆及质心，同时给出离散误差界。其次，问题二不重新建立定位器，而将候选检测点逐一输入问题一，以 Ω 面积外包、直径外包和交会角构成字典序准则，滚动选择观测几何。420 次实验表明，本文布局的平均 Ω 面积为 462.89 m²，低于随机布局的 638.53 m²、均匀圆周布局的 520.17 m²和 DOP 诊断基线的 574.53 m²；相对 DOP 的配对面积差为 −111.65 m²，95% 自举区间为 [−232.06, −0.35] m²。</w:t>
      </w:r>
    </w:p>
    <w:p>
      <w:r>
        <w:rPr>
          <w:rFonts w:ascii="宋体" w:hAnsi="宋体" w:eastAsia="宋体" w:cs="宋体"/>
          <w:sz w:val="21"/>
        </w:rPr>
        <w:t>对于全向干扰源，本文采用“原点加半径 1200 m 正六边形”的 7 点确定性覆盖布局，按蛇形频道顺序扫描，并以 Ω 最小覆盖圆判据、最大交会角最小二乘估计、受限顺路清除、任务级开放路径 2-opt 和二分归航组成串行状态机。1000 例离线自检的清除率为 100%，实机 7 局全部全清，时间波动的 92.1% 可由随机源数量解释。对于含未知指向定向源的混合场景，进一步构造边长 900 m、边界裕度 800 m 的 31 点三角网格，并以“覆盖三角形三个顶点对某频道均无信号”作为该三角形的排除证书；全部覆盖三角形均被证伪时才退役该频道。实机 11 局均全清且证书索引正确，剔除一个困难定向源导致的长尾局后，虚拟时间变异系数为 3.1%。通过配对消融，本文否决了概率排序、DOP 预筛、PSO 精化、多方向复核、LS 信任门限和补测距离上限等未能稳定改善目标的模块，最终保留简洁、可解释、可复现的确定性路线。</w:t>
      </w:r>
    </w:p>
    <w:p>
      <w:pPr>
        <w:spacing w:after="160"/>
        <w:ind w:firstLine="0"/>
      </w:pPr>
      <w:r>
        <w:rPr>
          <w:rFonts w:ascii="宋体" w:hAnsi="宋体" w:eastAsia="宋体" w:cs="宋体"/>
          <w:b/>
          <w:sz w:val="21"/>
        </w:rPr>
        <w:t>关键词：</w:t>
      </w:r>
      <w:r>
        <w:rPr>
          <w:rFonts w:ascii="宋体" w:hAnsi="宋体" w:eastAsia="宋体" w:cs="宋体"/>
          <w:sz w:val="21"/>
        </w:rPr>
        <w:t xml:space="preserve"> 有界测向误差；可行区域；观测几何；确定性覆盖；路径调度；消融实验</w:t>
      </w:r>
    </w:p>
    <w:p>
      <w:pPr>
        <w:pStyle w:val="Heading1"/>
        <w:ind w:firstLine="0"/>
      </w:pPr>
      <w:r>
        <w:t>1 问题重述</w:t>
      </w:r>
    </w:p>
    <w:p>
      <w:r>
        <w:rPr>
          <w:rFonts w:ascii="宋体" w:hAnsi="宋体" w:eastAsia="宋体" w:cs="宋体"/>
          <w:sz w:val="21"/>
        </w:rPr>
        <w:t>目标区域为以原点为圆心、半径 1800 m 的圆盘。干扰源占用 1—20 号互异频道，接收半径在 1000—1500 m 之间；机器人以 5 m/s 移动，换频耗时 1 s，检测耗时 5 s。检测若位于干扰源 5 m 范围内返回 near；否则在可接收条件下返回示向角，误差不超过 ±1°。机器人进入源 20 m 范围后可执行光学定位并清除。问题一要求由若干示向结果确定干扰源可能区域；问题二要求选择检测点并评价布局；问题三要求清除 10—16 个全向源；问题四将源扩展为全向与定向混合，且定向源只在自身指向两侧各 90° 范围内发射。</w:t>
      </w:r>
    </w:p>
    <w:p>
      <w:r>
        <w:rPr>
          <w:rFonts w:ascii="宋体" w:hAnsi="宋体" w:eastAsia="宋体" w:cs="宋体"/>
          <w:sz w:val="21"/>
        </w:rPr>
        <w:t>四问并非彼此独立。问题一提供统一的区域定位器；问题二研究观测几何如何收缩该区域；问题三把定位器嵌入全向场景的覆盖—定位—清除流程；问题四只改变“可见性”模型，并以更强的空间覆盖证书解决无信号歧义。本文的总目标是在全清这一硬约束下，减少移动、测量和失败清除造成的虚拟时间，并保证 HTTP+JSON 串行通信、请求幂等和状态记录可审计。</w:t>
      </w:r>
    </w:p>
    <w:p>
      <w:pPr>
        <w:pStyle w:val="Heading1"/>
        <w:ind w:firstLine="0"/>
      </w:pPr>
      <w:r>
        <w:t>2 问题分析与总体框架</w:t>
      </w:r>
    </w:p>
    <w:p>
      <w:pPr>
        <w:pStyle w:val="Heading2"/>
        <w:ind w:firstLine="0"/>
      </w:pPr>
      <w:r>
        <w:t>2.1 四问的共同数学对象</w:t>
      </w:r>
    </w:p>
    <w:p>
      <w:r>
        <w:rPr>
          <w:rFonts w:ascii="宋体" w:hAnsi="宋体" w:eastAsia="宋体" w:cs="宋体"/>
          <w:sz w:val="21"/>
        </w:rPr>
        <w:t>示向观测给出的是方向区间而非精确射线，也不是距离观测。因此，任何直接求两射线交点的方法都会把有界误差错误地压缩为一个点。本文将每次观测转化为一个前向凸角域 Ωᵢ，并定义</w:t>
      </w:r>
    </w:p>
    <w:p>
      <w:pPr>
        <w:spacing w:before="80" w:after="80"/>
        <w:ind w:firstLine="0"/>
        <w:jc w:val="center"/>
      </w:pPr>
      <w:r>
        <w:rPr>
          <w:rFonts w:ascii="Cambria Math" w:hAnsi="Cambria Math" w:eastAsia="Cambria Math" w:cs="Cambria Math"/>
          <w:i/>
          <w:sz w:val="21"/>
        </w:rPr>
        <w:t>Ω = B_R ∩ Ω₁ ∩ Ω₂ ∩ ··· ∩ Ωₙ,</w:t>
      </w:r>
    </w:p>
    <w:p>
      <w:r>
        <w:rPr>
          <w:rFonts w:ascii="宋体" w:hAnsi="宋体" w:eastAsia="宋体" w:cs="宋体"/>
          <w:sz w:val="21"/>
        </w:rPr>
        <w:t>其中 B_R 为场地圆盘。只要所有测量误差均在规定界内，真实源必在 Ω 中。问题二所优化的不是某个概率意义下的“最可能位置”，而是新增观测后 Ω 的收缩程度。问题三、四中，当 Ω 的最小覆盖圆半径不超过 20 m 时，前往覆盖圆心即可获得与清除半径一致的确定性安全判据；否则才使用最小二乘交会点作为低成本试探位置，并由归航机制兜底。</w:t>
      </w:r>
    </w:p>
    <w:p>
      <w:pPr>
        <w:pStyle w:val="Heading2"/>
        <w:ind w:firstLine="0"/>
      </w:pPr>
      <w:r>
        <w:t>2.2 时间目标的分解</w:t>
      </w:r>
    </w:p>
    <w:p>
      <w:r>
        <w:rPr>
          <w:rFonts w:ascii="宋体" w:hAnsi="宋体" w:eastAsia="宋体" w:cs="宋体"/>
          <w:sz w:val="21"/>
        </w:rPr>
        <w:t>对一条串行动作序列，虚拟时间写为</w:t>
      </w:r>
    </w:p>
    <w:p>
      <w:pPr>
        <w:spacing w:before="80" w:after="80"/>
        <w:ind w:firstLine="0"/>
        <w:jc w:val="center"/>
      </w:pPr>
      <w:r>
        <w:rPr>
          <w:rFonts w:ascii="Cambria Math" w:hAnsi="Cambria Math" w:eastAsia="Cambria Math" w:cs="Cambria Math"/>
          <w:i/>
          <w:sz w:val="21"/>
        </w:rPr>
        <w:t>T = L/5 + 5N_m + N_s + 5N_c^+ + 3N_c^-,</w:t>
      </w:r>
    </w:p>
    <w:p>
      <w:r>
        <w:rPr>
          <w:rFonts w:ascii="宋体" w:hAnsi="宋体" w:eastAsia="宋体" w:cs="宋体"/>
          <w:sz w:val="21"/>
        </w:rPr>
        <w:t>其中 L 为移动距离，N_m 为检测次数，N_s 为换频次数，N_c^+、N_c^- 分别为成功和失败清除次数。由于场地尺度以千米计，移动通常是主导项；但盲目减少测量会造成较差定位并触发长距离归航。因此本文采用分层目标：首先保证全部源被发现和清除，其次减少移动距离和失败清除，最后才在同等安全水平下减少检测次数。</w:t>
      </w:r>
    </w:p>
    <w:p>
      <w:pPr>
        <w:pStyle w:val="Heading2"/>
        <w:ind w:firstLine="0"/>
      </w:pPr>
      <w:r>
        <w:t>2.3 总体算法流程</w:t>
      </w:r>
    </w:p>
    <w:p>
      <w:pPr>
        <w:spacing w:line="300" w:lineRule="auto" w:after="40"/>
        <w:ind w:firstLine="0" w:left="0"/>
      </w:pPr>
      <w:r>
        <w:rPr>
          <w:rFonts w:ascii="宋体" w:hAnsi="宋体" w:eastAsia="宋体" w:cs="宋体"/>
          <w:sz w:val="21"/>
        </w:rPr>
        <w:t>1. 将检测返回的示向角转化为问题一的有界角域，实时更新每个频道的 Ω。</w:t>
      </w:r>
    </w:p>
    <w:p>
      <w:pPr>
        <w:spacing w:line="300" w:lineRule="auto" w:after="40"/>
        <w:ind w:firstLine="0" w:left="0"/>
      </w:pPr>
      <w:r>
        <w:rPr>
          <w:rFonts w:ascii="宋体" w:hAnsi="宋体" w:eastAsia="宋体" w:cs="宋体"/>
          <w:sz w:val="21"/>
        </w:rPr>
        <w:t>2. 在需要主动增测时，由问题二的字典序准则评价候选点，不另建概率定位器。</w:t>
      </w:r>
    </w:p>
    <w:p>
      <w:pPr>
        <w:spacing w:line="300" w:lineRule="auto" w:after="40"/>
        <w:ind w:firstLine="0" w:left="0"/>
      </w:pPr>
      <w:r>
        <w:rPr>
          <w:rFonts w:ascii="宋体" w:hAnsi="宋体" w:eastAsia="宋体" w:cs="宋体"/>
          <w:sz w:val="21"/>
        </w:rPr>
        <w:t>3. 问题三用 7 个固定覆盖点扫描全向源，定位成熟的频道可在扫描路径中顺路清除，其余进入清除队列。</w:t>
      </w:r>
    </w:p>
    <w:p>
      <w:pPr>
        <w:spacing w:line="300" w:lineRule="auto" w:after="40"/>
        <w:ind w:firstLine="0" w:left="0"/>
      </w:pPr>
      <w:r>
        <w:rPr>
          <w:rFonts w:ascii="宋体" w:hAnsi="宋体" w:eastAsia="宋体" w:cs="宋体"/>
          <w:sz w:val="21"/>
        </w:rPr>
        <w:t>4. 问题四用三角网格环绕定向源，以逐频道的三角形无信号证书决定频道是否可安全退役。</w:t>
      </w:r>
    </w:p>
    <w:p>
      <w:pPr>
        <w:spacing w:line="300" w:lineRule="auto" w:after="40"/>
        <w:ind w:firstLine="0" w:left="0"/>
      </w:pPr>
      <w:r>
        <w:rPr>
          <w:rFonts w:ascii="宋体" w:hAnsi="宋体" w:eastAsia="宋体" w:cs="宋体"/>
          <w:sz w:val="21"/>
        </w:rPr>
        <w:t>5. 所有网络请求严格串行；每个新动作生成唯一 request_id，网络重试复用同一 request_id 和完全相同的请求体；仅在 accepted=true 且 clear_result=success 时更新 cleared 状态。</w:t>
      </w:r>
    </w:p>
    <w:p>
      <w:pPr>
        <w:pStyle w:val="Heading1"/>
        <w:ind w:firstLine="0"/>
      </w:pPr>
      <w:r>
        <w:t>3 模型假设与符号说明</w:t>
      </w:r>
    </w:p>
    <w:p>
      <w:pPr>
        <w:pStyle w:val="Heading2"/>
        <w:ind w:firstLine="0"/>
      </w:pPr>
      <w:r>
        <w:t>3.1 基本假设</w:t>
      </w:r>
    </w:p>
    <w:p>
      <w:pPr>
        <w:spacing w:line="300" w:lineRule="auto" w:after="40"/>
        <w:ind w:firstLine="0" w:left="0"/>
      </w:pPr>
      <w:r>
        <w:rPr>
          <w:rFonts w:ascii="宋体" w:hAnsi="宋体" w:eastAsia="宋体" w:cs="宋体"/>
          <w:sz w:val="21"/>
        </w:rPr>
        <w:t>1. 干扰源在单局测试中位置、频道和定向方向保持不变。</w:t>
      </w:r>
    </w:p>
    <w:p>
      <w:pPr>
        <w:spacing w:line="300" w:lineRule="auto" w:after="40"/>
        <w:ind w:firstLine="0" w:left="0"/>
      </w:pPr>
      <w:r>
        <w:rPr>
          <w:rFonts w:ascii="宋体" w:hAnsi="宋体" w:eastAsia="宋体" w:cs="宋体"/>
          <w:sz w:val="21"/>
        </w:rPr>
        <w:t>2. 机器人位置及坐标系准确，示向误差绝对值不超过官方给定上界。</w:t>
      </w:r>
    </w:p>
    <w:p>
      <w:pPr>
        <w:spacing w:line="300" w:lineRule="auto" w:after="40"/>
        <w:ind w:firstLine="0" w:left="0"/>
      </w:pPr>
      <w:r>
        <w:rPr>
          <w:rFonts w:ascii="宋体" w:hAnsi="宋体" w:eastAsia="宋体" w:cs="宋体"/>
          <w:sz w:val="21"/>
        </w:rPr>
        <w:t>3. 同一频道至多对应一个干扰源，各源频道互异。</w:t>
      </w:r>
    </w:p>
    <w:p>
      <w:pPr>
        <w:spacing w:line="300" w:lineRule="auto" w:after="40"/>
        <w:ind w:firstLine="0" w:left="0"/>
      </w:pPr>
      <w:r>
        <w:rPr>
          <w:rFonts w:ascii="宋体" w:hAnsi="宋体" w:eastAsia="宋体" w:cs="宋体"/>
          <w:sz w:val="21"/>
        </w:rPr>
        <w:t>4. 场地内无障碍物，直线移动可行；所有动作按接口返回的虚拟时间串行发生。</w:t>
      </w:r>
    </w:p>
    <w:p>
      <w:pPr>
        <w:spacing w:line="300" w:lineRule="auto" w:after="40"/>
        <w:ind w:firstLine="0" w:left="0"/>
      </w:pPr>
      <w:r>
        <w:rPr>
          <w:rFonts w:ascii="宋体" w:hAnsi="宋体" w:eastAsia="宋体" w:cs="宋体"/>
          <w:sz w:val="21"/>
        </w:rPr>
        <w:t xml:space="preserve">5. </w:t>
      </w:r>
      <w:r>
        <w:rPr>
          <w:rFonts w:ascii="Consolas" w:hAnsi="Consolas" w:eastAsia="Consolas" w:cs="Consolas"/>
          <w:sz w:val="21"/>
        </w:rPr>
        <w:t>accepted=false</w:t>
      </w:r>
      <w:r>
        <w:rPr>
          <w:rFonts w:ascii="宋体" w:hAnsi="宋体" w:eastAsia="宋体" w:cs="宋体"/>
          <w:sz w:val="21"/>
        </w:rPr>
        <w:t>、HTTP 错误或通信异常均不视为业务动作成功；未知状态不得被写为已清除。</w:t>
      </w:r>
    </w:p>
    <w:p>
      <w:pPr>
        <w:spacing w:line="300" w:lineRule="auto" w:after="40"/>
        <w:ind w:firstLine="0" w:left="0"/>
      </w:pPr>
      <w:r>
        <w:rPr>
          <w:rFonts w:ascii="宋体" w:hAnsi="宋体" w:eastAsia="宋体" w:cs="宋体"/>
          <w:sz w:val="21"/>
        </w:rPr>
        <w:t>6. 随机误差分布只用于重复实验评价典型性能，不参与确定性真值包含证明。</w:t>
      </w:r>
    </w:p>
    <w:p>
      <w:pPr>
        <w:pStyle w:val="Heading2"/>
        <w:ind w:firstLine="0"/>
      </w:pPr>
      <w:r>
        <w:t>3.2 主要符号</w:t>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符号</w:t>
            </w:r>
          </w:p>
        </w:tc>
        <w:tc>
          <w:tcPr>
            <w:tcW w:type="dxa" w:w="4649"/>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含义</w:t>
            </w:r>
          </w:p>
        </w:tc>
      </w:tr>
      <w:tr>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R</w:t>
            </w:r>
          </w:p>
        </w:tc>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场地圆盘半径，R=1800 m</w:t>
            </w:r>
          </w:p>
        </w:tc>
      </w:tr>
      <w:tr>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Pᵢ=(xᵢ,yᵢ)</w:t>
            </w:r>
          </w:p>
        </w:tc>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第 i 个检测位置</w:t>
            </w:r>
          </w:p>
        </w:tc>
      </w:tr>
      <w:tr>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θᵢ</w:t>
            </w:r>
          </w:p>
        </w:tc>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第 i 次检测返回的示向角</w:t>
            </w:r>
          </w:p>
        </w:tc>
      </w:tr>
      <w:tr>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δ</w:t>
            </w:r>
          </w:p>
        </w:tc>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示向误差界，默认 1°</w:t>
            </w:r>
          </w:p>
        </w:tc>
      </w:tr>
      <w:tr>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Ωᵢ</w:t>
            </w:r>
          </w:p>
        </w:tc>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单次观测对应的前向角域</w:t>
            </w:r>
          </w:p>
        </w:tc>
      </w:tr>
      <w:tr>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Ω</w:t>
            </w:r>
          </w:p>
        </w:tc>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所有观测与场地约束的联合可行区域</w:t>
            </w:r>
          </w:p>
        </w:tc>
      </w:tr>
      <w:tr>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A(Ω), D(Ω)</w:t>
            </w:r>
          </w:p>
        </w:tc>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Ω 的面积与直径</w:t>
            </w:r>
          </w:p>
        </w:tc>
      </w:tr>
      <w:tr>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r*(Ω)</w:t>
            </w:r>
          </w:p>
        </w:tc>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Ω 的最小覆盖圆半径</w:t>
            </w:r>
          </w:p>
        </w:tc>
      </w:tr>
      <w:tr>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α</w:t>
            </w:r>
          </w:p>
        </w:tc>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两条有效示向的交会角</w:t>
            </w:r>
          </w:p>
        </w:tc>
      </w:tr>
      <w:tr>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L, T</w:t>
            </w:r>
          </w:p>
        </w:tc>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总移动距离与总虚拟时间</w:t>
            </w:r>
          </w:p>
        </w:tc>
      </w:tr>
      <w:tr>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ΔL</w:t>
            </w:r>
          </w:p>
        </w:tc>
        <w:tc>
          <w:tcPr>
            <w:tcW w:type="dxa" w:w="4649"/>
            <w:vAlign w:val="center"/>
            <w:tcMar>
              <w:top w:w="80" w:type="dxa"/>
              <w:start w:w="100" w:type="dxa"/>
              <w:bottom w:w="80" w:type="dxa"/>
              <w:end w:w="100" w:type="dxa"/>
            </w:tcMar>
          </w:tcPr>
          <w:p>
            <w:pPr>
              <w:spacing w:line="252" w:lineRule="auto" w:after="0"/>
              <w:ind w:firstLine="0"/>
              <w:jc w:val="left"/>
            </w:pPr>
            <w:r>
              <w:rPr>
                <w:rFonts w:ascii="宋体" w:hAnsi="宋体" w:eastAsia="宋体" w:cs="宋体"/>
                <w:sz w:val="17"/>
              </w:rPr>
              <w:t>将清除任务插入当前路径的额外移动距离</w:t>
            </w:r>
          </w:p>
        </w:tc>
      </w:tr>
      <w:tr>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δ_on</w:t>
            </w:r>
          </w:p>
        </w:tc>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顺路清除阈值，冻结值 300 m</w:t>
            </w:r>
          </w:p>
        </w:tc>
      </w:tr>
    </w:tbl>
    <w:p>
      <w:pPr>
        <w:spacing w:after="0"/>
        <w:ind w:firstLine="0"/>
      </w:pPr>
    </w:p>
    <w:p>
      <w:pPr>
        <w:pStyle w:val="Heading1"/>
        <w:ind w:firstLine="0"/>
      </w:pPr>
      <w:r>
        <w:t>4 问题一 有界测向误差下的区域定位</w:t>
      </w:r>
    </w:p>
    <w:p>
      <w:pPr>
        <w:pStyle w:val="Heading2"/>
        <w:ind w:firstLine="0"/>
      </w:pPr>
      <w:r>
        <w:t>4.1 单站角域与真值包含性</w:t>
      </w:r>
    </w:p>
    <w:p>
      <w:r>
        <w:rPr>
          <w:rFonts w:ascii="宋体" w:hAnsi="宋体" w:eastAsia="宋体" w:cs="宋体"/>
          <w:sz w:val="21"/>
        </w:rPr>
        <w:t>设候选源位置 X=(x,y)，从 Pᵢ 指向 X 的方位角为</w:t>
      </w:r>
    </w:p>
    <w:p>
      <w:pPr>
        <w:spacing w:before="80" w:after="80"/>
        <w:ind w:firstLine="0"/>
        <w:jc w:val="center"/>
      </w:pPr>
      <w:r>
        <w:rPr>
          <w:rFonts w:ascii="Cambria Math" w:hAnsi="Cambria Math" w:eastAsia="Cambria Math" w:cs="Cambria Math"/>
          <w:i/>
          <w:sz w:val="21"/>
        </w:rPr>
        <w:t>φᵢ(X)=atan2(y-yᵢ,x-xᵢ) mod 360°.</w:t>
      </w:r>
    </w:p>
    <w:p>
      <w:r>
        <w:rPr>
          <w:rFonts w:ascii="宋体" w:hAnsi="宋体" w:eastAsia="宋体" w:cs="宋体"/>
          <w:sz w:val="21"/>
        </w:rPr>
        <w:t>定义圆周角距离</w:t>
      </w:r>
    </w:p>
    <w:p>
      <w:pPr>
        <w:spacing w:before="80" w:after="80"/>
        <w:ind w:firstLine="0"/>
        <w:jc w:val="center"/>
      </w:pPr>
      <w:r>
        <w:rPr>
          <w:rFonts w:ascii="Cambria Math" w:hAnsi="Cambria Math" w:eastAsia="Cambria Math" w:cs="Cambria Math"/>
          <w:i/>
          <w:sz w:val="21"/>
        </w:rPr>
        <w:t>d_S(a,b)=|((a-b+180°) mod 360°)-180°|.</w:t>
      </w:r>
    </w:p>
    <w:p>
      <w:r>
        <w:rPr>
          <w:rFonts w:ascii="宋体" w:hAnsi="宋体" w:eastAsia="宋体" w:cs="宋体"/>
          <w:sz w:val="21"/>
        </w:rPr>
        <w:t>则单站可行域和联合区域分别为</w:t>
      </w:r>
    </w:p>
    <w:p>
      <w:pPr>
        <w:spacing w:before="80" w:after="80"/>
        <w:ind w:firstLine="0"/>
        <w:jc w:val="center"/>
      </w:pPr>
      <w:r>
        <w:rPr>
          <w:rFonts w:ascii="Cambria Math" w:hAnsi="Cambria Math" w:eastAsia="Cambria Math" w:cs="Cambria Math"/>
          <w:i/>
          <w:sz w:val="21"/>
        </w:rPr>
        <w:t>Ωᵢ={X≠Pᵢ: d_S(φᵢ(X),θᵢ)≤δ},</w:t>
      </w:r>
    </w:p>
    <w:p>
      <w:pPr>
        <w:spacing w:before="80" w:after="80"/>
        <w:ind w:firstLine="0"/>
        <w:jc w:val="center"/>
      </w:pPr>
      <w:r>
        <w:rPr>
          <w:rFonts w:ascii="Cambria Math" w:hAnsi="Cambria Math" w:eastAsia="Cambria Math" w:cs="Cambria Math"/>
          <w:i/>
          <w:sz w:val="21"/>
        </w:rPr>
        <w:t>Ω=B_R∩⋂_{i=1}^n Ωᵢ.</w:t>
      </w:r>
    </w:p>
    <w:p>
      <w:r>
        <w:rPr>
          <w:rFonts w:ascii="宋体" w:hAnsi="宋体" w:eastAsia="宋体" w:cs="宋体"/>
          <w:sz w:val="21"/>
        </w:rPr>
        <w:t>若真实位置 S 位于场地内且每次观测满足 d_S(φᵢ(S),θᵢ)≤δ，则 S 同时满足所有约束，故 S∈Ω。这一结论是条件确定性保证，不是置信概率。</w:t>
      </w:r>
    </w:p>
    <w:p>
      <w:pPr>
        <w:pStyle w:val="Heading2"/>
        <w:ind w:firstLine="0"/>
      </w:pPr>
      <w:r>
        <w:t>4.2 等价半平面与凸性</w:t>
      </w:r>
    </w:p>
    <w:p>
      <w:r>
        <w:rPr>
          <w:rFonts w:ascii="宋体" w:hAnsi="宋体" w:eastAsia="宋体" w:cs="宋体"/>
          <w:sz w:val="21"/>
        </w:rPr>
        <w:t>令 uᵢ⁻、uᵢ⁺分别为方向 θᵢ−δ 与 θᵢ+δ 的单位向量，uᵢ⁰为 θᵢ 的单位向量。角域闭包可写为</w:t>
      </w:r>
    </w:p>
    <w:p>
      <w:pPr>
        <w:spacing w:before="80" w:after="80"/>
        <w:ind w:firstLine="0"/>
        <w:jc w:val="center"/>
      </w:pPr>
      <w:r>
        <w:rPr>
          <w:rFonts w:ascii="Cambria Math" w:hAnsi="Cambria Math" w:eastAsia="Cambria Math" w:cs="Cambria Math"/>
          <w:i/>
          <w:sz w:val="21"/>
        </w:rPr>
        <w:t>cross(uᵢ⁻,X-Pᵢ)≥0,</w:t>
      </w:r>
    </w:p>
    <w:p>
      <w:pPr>
        <w:spacing w:before="80" w:after="80"/>
        <w:ind w:firstLine="0"/>
        <w:jc w:val="center"/>
      </w:pPr>
      <w:r>
        <w:rPr>
          <w:rFonts w:ascii="Cambria Math" w:hAnsi="Cambria Math" w:eastAsia="Cambria Math" w:cs="Cambria Math"/>
          <w:i/>
          <w:sz w:val="21"/>
        </w:rPr>
        <w:t>cross(uᵢ⁺,X-Pᵢ)≤0,</w:t>
      </w:r>
    </w:p>
    <w:p>
      <w:pPr>
        <w:spacing w:before="80" w:after="80"/>
        <w:ind w:firstLine="0"/>
        <w:jc w:val="center"/>
      </w:pPr>
      <w:r>
        <w:rPr>
          <w:rFonts w:ascii="Cambria Math" w:hAnsi="Cambria Math" w:eastAsia="Cambria Math" w:cs="Cambria Math"/>
          <w:i/>
          <w:sz w:val="21"/>
        </w:rPr>
        <w:t>uᵢ⁰·(X-Pᵢ)≥0.</w:t>
      </w:r>
    </w:p>
    <w:p>
      <w:r>
        <w:rPr>
          <w:rFonts w:ascii="宋体" w:hAnsi="宋体" w:eastAsia="宋体" w:cs="宋体"/>
          <w:sz w:val="21"/>
        </w:rPr>
        <w:t>前两式给出角域边界，第三式保留射线的前向性。由于半平面与圆盘均为凸集，Ω 的闭包也是凸集，这使面积、直径、最小覆盖圆及后续观测点比较均可稳定计算。</w:t>
      </w:r>
    </w:p>
    <w:p>
      <w:pPr>
        <w:pStyle w:val="Heading2"/>
        <w:ind w:firstLine="0"/>
      </w:pPr>
      <w:r>
        <w:t>4.3 自适应网格的内外包络</w:t>
      </w:r>
    </w:p>
    <w:p>
      <w:r>
        <w:rPr>
          <w:rFonts w:ascii="宋体" w:hAnsi="宋体" w:eastAsia="宋体" w:cs="宋体"/>
          <w:sz w:val="21"/>
        </w:rPr>
        <w:t>将 [−R,R]² 初始划分为 200×200 个方格。对中心 c、半边长 h 的格子，任一线性约束 a·X−b 在格内的范围为</w:t>
      </w:r>
    </w:p>
    <w:p>
      <w:pPr>
        <w:spacing w:before="80" w:after="80"/>
        <w:ind w:firstLine="0"/>
        <w:jc w:val="center"/>
      </w:pPr>
      <w:r>
        <w:rPr>
          <w:rFonts w:ascii="Cambria Math" w:hAnsi="Cambria Math" w:eastAsia="Cambria Math" w:cs="Cambria Math"/>
          <w:i/>
          <w:sz w:val="21"/>
        </w:rPr>
        <w:t>[a·c-b-h||a||₁, a·c-b+h||a||₁].</w:t>
      </w:r>
    </w:p>
    <w:p>
      <w:r>
        <w:rPr>
          <w:rFonts w:ascii="宋体" w:hAnsi="宋体" w:eastAsia="宋体" w:cs="宋体"/>
          <w:sz w:val="21"/>
        </w:rPr>
        <w:t>若某约束的最大值仍小于 0，或格子到原点的最近距离超过 R，则整格被排除；若全格满足所有半平面且最远角点仍在圆盘内，则整格被确认为内部；其余边界格四分细化，直至边长不超过给定精度。对通过原始 atan2 角距检验的点取凸包 K_in，对所有保留叶格角点取凸包 K_out，得到</w:t>
      </w:r>
    </w:p>
    <w:p>
      <w:pPr>
        <w:spacing w:before="80" w:after="80"/>
        <w:ind w:firstLine="0"/>
        <w:jc w:val="center"/>
      </w:pPr>
      <w:r>
        <w:rPr>
          <w:rFonts w:ascii="Cambria Math" w:hAnsi="Cambria Math" w:eastAsia="Cambria Math" w:cs="Cambria Math"/>
          <w:i/>
          <w:sz w:val="21"/>
        </w:rPr>
        <w:t>K_in⊆cl(Ω)⊆K_out.</w:t>
      </w:r>
    </w:p>
    <w:p>
      <w:r>
        <w:rPr>
          <w:rFonts w:ascii="宋体" w:hAnsi="宋体" w:eastAsia="宋体" w:cs="宋体"/>
          <w:sz w:val="21"/>
        </w:rPr>
        <w:t>这一区分避免了把离散采样点集误认为连续区域，也避免细长可行域穿过格子却因格心不满足约束而被错误删除。</w:t>
      </w:r>
    </w:p>
    <w:p>
      <w:pPr>
        <w:pStyle w:val="Heading2"/>
        <w:ind w:firstLine="0"/>
      </w:pPr>
      <w:r>
        <w:t>4.4 区域指标</w:t>
      </w:r>
    </w:p>
    <w:p>
      <w:r>
        <w:rPr>
          <w:rFonts w:ascii="宋体" w:hAnsi="宋体" w:eastAsia="宋体" w:cs="宋体"/>
          <w:sz w:val="21"/>
        </w:rPr>
        <w:t>面积使用鞋带公式，并由内外包给出 A_in≤A(Ω)≤A_out。直径在凸包顶点间计算，得到 D_in 与 D_out。最小覆盖圆半径定义为</w:t>
      </w:r>
    </w:p>
    <w:p>
      <w:pPr>
        <w:spacing w:before="80" w:after="80"/>
        <w:ind w:firstLine="0"/>
        <w:jc w:val="center"/>
      </w:pPr>
      <w:r>
        <w:rPr>
          <w:rFonts w:ascii="Cambria Math" w:hAnsi="Cambria Math" w:eastAsia="Cambria Math" w:cs="Cambria Math"/>
          <w:i/>
          <w:sz w:val="21"/>
        </w:rPr>
        <w:t>r*(Ω)=min_c max_{X∈Ω} ||X-c||₂.</w:t>
      </w:r>
    </w:p>
    <w:p>
      <w:r>
        <w:rPr>
          <w:rFonts w:ascii="宋体" w:hAnsi="宋体" w:eastAsia="宋体" w:cs="宋体"/>
          <w:sz w:val="21"/>
        </w:rPr>
        <w:t>内外凸包分别给出覆盖半径下界与安全上界。论文采用外包最小覆盖圆作为清除判据；不能简单把“区域直径的一半”作为覆盖半径，因为等边三角形的最小覆盖圆半径为 D/√3&gt;D/2。</w:t>
      </w:r>
    </w:p>
    <w:p>
      <w:pPr>
        <w:pStyle w:val="Heading2"/>
        <w:ind w:firstLine="0"/>
      </w:pPr>
      <w:r>
        <w:t>4.5 实验结果</w:t>
      </w:r>
    </w:p>
    <w:p>
      <w:r>
        <w:rPr>
          <w:rFonts w:ascii="宋体" w:hAnsi="宋体" w:eastAsia="宋体" w:cs="宋体"/>
          <w:sz w:val="21"/>
        </w:rPr>
        <w:t>固定种子 202604004013，每组 30 次重复，共完成 450 次求解。检测点从 2 个增加到 6 个时，平均 Ω 面积由 1225.40 m² 降至 192.96 m²，平均覆盖半径由 24.91 m 降至 11.23 m；误差界由 0.2° 增至 2° 时，平均 Ω 面积由 27.95 m² 增至 4480.56 m²。两站交会角为 90° 时平均定位误差为 14.36 m，优于 30° 时的 27.49 m。450/450 次真值均满足角度误差界；最大面积包络宽度为 13.7949 m²，最大直径上下界差为 0.2358 m，最大覆盖半径上下界差为 0.1179 m。</w:t>
      </w:r>
    </w:p>
    <w:p>
      <w:pPr>
        <w:keepNext/>
        <w:ind w:firstLine="0"/>
        <w:jc w:val="center"/>
      </w:pPr>
      <w:r>
        <w:drawing>
          <wp:inline xmlns:a="http://schemas.openxmlformats.org/drawingml/2006/main" xmlns:pic="http://schemas.openxmlformats.org/drawingml/2006/picture">
            <wp:extent cx="5074920" cy="3086048"/>
            <wp:docPr id="1" name="Picture 1"/>
            <wp:cNvGraphicFramePr>
              <a:graphicFrameLocks noChangeAspect="1"/>
            </wp:cNvGraphicFramePr>
            <a:graphic>
              <a:graphicData uri="http://schemas.openxmlformats.org/drawingml/2006/picture">
                <pic:pic>
                  <pic:nvPicPr>
                    <pic:cNvPr id="0" name="fig02_feasible_region.png"/>
                    <pic:cNvPicPr/>
                  </pic:nvPicPr>
                  <pic:blipFill>
                    <a:blip r:embed="rId10"/>
                    <a:stretch>
                      <a:fillRect/>
                    </a:stretch>
                  </pic:blipFill>
                  <pic:spPr>
                    <a:xfrm>
                      <a:off x="0" y="0"/>
                      <a:ext cx="5074920" cy="3086048"/>
                    </a:xfrm>
                    <a:prstGeom prst="rect"/>
                  </pic:spPr>
                </pic:pic>
              </a:graphicData>
            </a:graphic>
          </wp:inline>
        </w:drawing>
      </w:r>
    </w:p>
    <w:p>
      <w:pPr>
        <w:keepNext w:val="0"/>
        <w:spacing w:before="40" w:after="120"/>
        <w:ind w:firstLine="0"/>
        <w:jc w:val="center"/>
      </w:pPr>
      <w:r>
        <w:rPr>
          <w:rFonts w:ascii="宋体" w:hAnsi="宋体" w:eastAsia="宋体" w:cs="宋体"/>
          <w:sz w:val="18"/>
        </w:rPr>
        <w:t>图1 有界角域交集形成的可行区域</w:t>
      </w:r>
    </w:p>
    <w:p>
      <w:r>
        <w:rPr>
          <w:rFonts w:ascii="宋体" w:hAnsi="宋体" w:eastAsia="宋体" w:cs="宋体"/>
          <w:b/>
          <w:sz w:val="21"/>
        </w:rPr>
        <w:t>模块说明。</w:t>
      </w:r>
      <w:r>
        <w:rPr>
          <w:rFonts w:ascii="宋体" w:hAnsi="宋体" w:eastAsia="宋体" w:cs="宋体"/>
          <w:sz w:val="21"/>
        </w:rPr>
        <w:t xml:space="preserve"> 数学上，本模块计算所有有界角约束的交集；设计上，用区域而非单点保存测向不确定性；正确性由真值包含、独立半平面裁剪和网格收敛共同验证；输出包括 Ω 的内外包络、面积、直径、最小覆盖圆、质心及离散误差界。</w:t>
      </w:r>
    </w:p>
    <w:p>
      <w:pPr>
        <w:pStyle w:val="Heading1"/>
        <w:ind w:firstLine="0"/>
      </w:pPr>
      <w:r>
        <w:t>5 问题二 基于 Ω 收缩的观测点布局优化</w:t>
      </w:r>
    </w:p>
    <w:p>
      <w:pPr>
        <w:pStyle w:val="Heading2"/>
        <w:ind w:firstLine="0"/>
      </w:pPr>
      <w:r>
        <w:t>5.1 问题一到问题二的接口</w:t>
      </w:r>
    </w:p>
    <w:p>
      <w:r>
        <w:rPr>
          <w:rFonts w:ascii="宋体" w:hAnsi="宋体" w:eastAsia="宋体" w:cs="宋体"/>
          <w:sz w:val="21"/>
        </w:rPr>
        <w:t>已有观测形成 Ω_k。问题二只负责选择下一检测点 P，使新观测加入后</w:t>
      </w:r>
    </w:p>
    <w:p>
      <w:pPr>
        <w:spacing w:before="80" w:after="80"/>
        <w:ind w:firstLine="0"/>
        <w:jc w:val="center"/>
      </w:pPr>
      <w:r>
        <w:rPr>
          <w:rFonts w:ascii="Cambria Math" w:hAnsi="Cambria Math" w:eastAsia="Cambria Math" w:cs="Cambria Math"/>
          <w:i/>
          <w:sz w:val="21"/>
        </w:rPr>
        <w:t>Ω_{k+1}(P)=Ω_k∩Ω_{new}(P)</w:t>
      </w:r>
    </w:p>
    <w:p>
      <w:r>
        <w:rPr>
          <w:rFonts w:ascii="宋体" w:hAnsi="宋体" w:eastAsia="宋体" w:cs="宋体"/>
          <w:sz w:val="21"/>
        </w:rPr>
        <w:t>尽可能小，再把 P 和观测结果送回问题一。为避免把不可比量纲强行加权，本文对候选点采用字典序指标</w:t>
      </w:r>
    </w:p>
    <w:p>
      <w:pPr>
        <w:spacing w:before="80" w:after="80"/>
        <w:ind w:firstLine="0"/>
        <w:jc w:val="center"/>
      </w:pPr>
      <w:r>
        <w:rPr>
          <w:rFonts w:ascii="Cambria Math" w:hAnsi="Cambria Math" w:eastAsia="Cambria Math" w:cs="Cambria Math"/>
          <w:i/>
          <w:sz w:val="21"/>
        </w:rPr>
        <w:t>J(P)=(A_out(Ω_{k+1}),D_out(Ω_{k+1}),-α_min(P),index(P)).</w:t>
      </w:r>
    </w:p>
    <w:p>
      <w:r>
        <w:rPr>
          <w:rFonts w:ascii="宋体" w:hAnsi="宋体" w:eastAsia="宋体" w:cs="宋体"/>
          <w:sz w:val="21"/>
        </w:rPr>
        <w:t>先最小化面积外包上界；面积相同或数值接近时，再比较直径外包；仍相同时优先较好的条件交会角，最后用候选编号保证固定种子下完全复现。</w:t>
      </w:r>
    </w:p>
    <w:p>
      <w:pPr>
        <w:pStyle w:val="Heading2"/>
        <w:ind w:firstLine="0"/>
      </w:pPr>
      <w:r>
        <w:t>5.2 候选区域和滚动选择</w:t>
      </w:r>
    </w:p>
    <w:p>
      <w:r>
        <w:rPr>
          <w:rFonts w:ascii="宋体" w:hAnsi="宋体" w:eastAsia="宋体" w:cs="宋体"/>
          <w:sz w:val="21"/>
        </w:rPr>
        <w:t>以当前 Ω 的代表中心 ŝ 为参考，在距 ŝ 约 1000 m 的圆周上每 15° 取一个候选点，共 24 点，并删去场地外或不满足相邻移动限制的点。每一轮枚举所有合法候选点，调用问题一计算假设加入该观测后的 Ω 指标，选择字典序最小者。受控几何实验以真值代替 ŝ，只用于隔离布局本身的影响；在线执行时 ŝ 必须来自当前 Ω，不能使用未知真值。</w:t>
      </w:r>
    </w:p>
    <w:p>
      <w:pPr>
        <w:keepNext/>
        <w:ind w:firstLine="0"/>
        <w:jc w:val="center"/>
      </w:pPr>
      <w:r>
        <w:drawing>
          <wp:inline xmlns:a="http://schemas.openxmlformats.org/drawingml/2006/main" xmlns:pic="http://schemas.openxmlformats.org/drawingml/2006/picture">
            <wp:extent cx="5074920" cy="6155664"/>
            <wp:docPr id="2" name="Picture 2"/>
            <wp:cNvGraphicFramePr>
              <a:graphicFrameLocks noChangeAspect="1"/>
            </wp:cNvGraphicFramePr>
            <a:graphic>
              <a:graphicData uri="http://schemas.openxmlformats.org/drawingml/2006/picture">
                <pic:pic>
                  <pic:nvPicPr>
                    <pic:cNvPr id="0" name="fig01_optimized_layout.png"/>
                    <pic:cNvPicPr/>
                  </pic:nvPicPr>
                  <pic:blipFill>
                    <a:blip r:embed="rId11"/>
                    <a:stretch>
                      <a:fillRect/>
                    </a:stretch>
                  </pic:blipFill>
                  <pic:spPr>
                    <a:xfrm>
                      <a:off x="0" y="0"/>
                      <a:ext cx="5074920" cy="6155664"/>
                    </a:xfrm>
                    <a:prstGeom prst="rect"/>
                  </pic:spPr>
                </pic:pic>
              </a:graphicData>
            </a:graphic>
          </wp:inline>
        </w:drawing>
      </w:r>
    </w:p>
    <w:p>
      <w:pPr>
        <w:keepNext w:val="0"/>
        <w:spacing w:before="40" w:after="120"/>
        <w:ind w:firstLine="0"/>
        <w:jc w:val="center"/>
      </w:pPr>
      <w:r>
        <w:rPr>
          <w:rFonts w:ascii="宋体" w:hAnsi="宋体" w:eastAsia="宋体" w:cs="宋体"/>
          <w:sz w:val="18"/>
        </w:rPr>
        <w:t>图2 本文优化布局及观测几何</w:t>
      </w:r>
    </w:p>
    <w:p>
      <w:pPr>
        <w:pStyle w:val="Heading2"/>
        <w:ind w:firstLine="0"/>
      </w:pPr>
      <w:r>
        <w:t>5.3 对照实验</w:t>
      </w:r>
    </w:p>
    <w:p>
      <w:r>
        <w:rPr>
          <w:rFonts w:ascii="宋体" w:hAnsi="宋体" w:eastAsia="宋体" w:cs="宋体"/>
          <w:sz w:val="21"/>
        </w:rPr>
        <w:t>420 次实验均复用同一场景和误差向量进行配对比较。最终布局平均指标如下。</w:t>
      </w:r>
    </w:p>
    <w:tbl>
      <w:tblPr>
        <w:tblStyle w:val="TableGrid"/>
        <w:tblW w:type="auto" w:w="0"/>
        <w:jc w:val="center"/>
        <w:tblLayout w:type="autofit"/>
        <w:tblLook w:firstColumn="1" w:firstRow="1" w:lastColumn="0" w:lastRow="0" w:noHBand="0" w:noVBand="1" w:val="04A0"/>
      </w:tblPr>
      <w:tblGrid>
        <w:gridCol w:w="1550"/>
        <w:gridCol w:w="1550"/>
        <w:gridCol w:w="1550"/>
        <w:gridCol w:w="1550"/>
        <w:gridCol w:w="1550"/>
        <w:gridCol w:w="1550"/>
      </w:tblGrid>
      <w:tr>
        <w:trPr>
          <w:tblHeader w:val="true"/>
        </w:trPr>
        <w:tc>
          <w:tcPr>
            <w:tcW w:type="dxa" w:w="1550"/>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方法</w:t>
            </w:r>
          </w:p>
        </w:tc>
        <w:tc>
          <w:tcPr>
            <w:tcW w:type="dxa" w:w="1550"/>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Ω面积/m²</w:t>
            </w:r>
          </w:p>
        </w:tc>
        <w:tc>
          <w:tcPr>
            <w:tcW w:type="dxa" w:w="1550"/>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直径/m</w:t>
            </w:r>
          </w:p>
        </w:tc>
        <w:tc>
          <w:tcPr>
            <w:tcW w:type="dxa" w:w="1550"/>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覆盖半径/m</w:t>
            </w:r>
          </w:p>
        </w:tc>
        <w:tc>
          <w:tcPr>
            <w:tcW w:type="dxa" w:w="1550"/>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定位误差/m</w:t>
            </w:r>
          </w:p>
        </w:tc>
        <w:tc>
          <w:tcPr>
            <w:tcW w:type="dxa" w:w="1550"/>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DOP</w:t>
            </w:r>
          </w:p>
        </w:tc>
      </w:tr>
      <w:tr>
        <w:tc>
          <w:tcPr>
            <w:tcW w:type="dxa" w:w="1550"/>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本文 Ω 面积贪心</w:t>
            </w:r>
          </w:p>
        </w:tc>
        <w:tc>
          <w:tcPr>
            <w:tcW w:type="dxa" w:w="1550"/>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462.89</w:t>
            </w:r>
          </w:p>
        </w:tc>
        <w:tc>
          <w:tcPr>
            <w:tcW w:type="dxa" w:w="1550"/>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31.86</w:t>
            </w:r>
          </w:p>
        </w:tc>
        <w:tc>
          <w:tcPr>
            <w:tcW w:type="dxa" w:w="1550"/>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16.45</w:t>
            </w:r>
          </w:p>
        </w:tc>
        <w:tc>
          <w:tcPr>
            <w:tcW w:type="dxa" w:w="1550"/>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8.18</w:t>
            </w:r>
          </w:p>
        </w:tc>
        <w:tc>
          <w:tcPr>
            <w:tcW w:type="dxa" w:w="1550"/>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1.000</w:t>
            </w:r>
          </w:p>
        </w:tc>
      </w:tr>
      <w:tr>
        <w:tc>
          <w:tcPr>
            <w:tcW w:type="dxa" w:w="1550"/>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随机布局</w:t>
            </w:r>
          </w:p>
        </w:tc>
        <w:tc>
          <w:tcPr>
            <w:tcW w:type="dxa" w:w="1550"/>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638.53</w:t>
            </w:r>
          </w:p>
        </w:tc>
        <w:tc>
          <w:tcPr>
            <w:tcW w:type="dxa" w:w="1550"/>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47.47</w:t>
            </w:r>
          </w:p>
        </w:tc>
        <w:tc>
          <w:tcPr>
            <w:tcW w:type="dxa" w:w="1550"/>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23.94</w:t>
            </w:r>
          </w:p>
        </w:tc>
        <w:tc>
          <w:tcPr>
            <w:tcW w:type="dxa" w:w="1550"/>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11.39</w:t>
            </w:r>
          </w:p>
        </w:tc>
        <w:tc>
          <w:tcPr>
            <w:tcW w:type="dxa" w:w="1550"/>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1.231</w:t>
            </w:r>
          </w:p>
        </w:tc>
      </w:tr>
      <w:tr>
        <w:tc>
          <w:tcPr>
            <w:tcW w:type="dxa" w:w="1550"/>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均匀圆周布局</w:t>
            </w:r>
          </w:p>
        </w:tc>
        <w:tc>
          <w:tcPr>
            <w:tcW w:type="dxa" w:w="1550"/>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520.17</w:t>
            </w:r>
          </w:p>
        </w:tc>
        <w:tc>
          <w:tcPr>
            <w:tcW w:type="dxa" w:w="1550"/>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32.46</w:t>
            </w:r>
          </w:p>
        </w:tc>
        <w:tc>
          <w:tcPr>
            <w:tcW w:type="dxa" w:w="1550"/>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16.32</w:t>
            </w:r>
          </w:p>
        </w:tc>
        <w:tc>
          <w:tcPr>
            <w:tcW w:type="dxa" w:w="1550"/>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8.27</w:t>
            </w:r>
          </w:p>
        </w:tc>
        <w:tc>
          <w:tcPr>
            <w:tcW w:type="dxa" w:w="1550"/>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1.000</w:t>
            </w:r>
          </w:p>
        </w:tc>
      </w:tr>
      <w:tr>
        <w:tc>
          <w:tcPr>
            <w:tcW w:type="dxa" w:w="1550"/>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DOP 诊断基线</w:t>
            </w:r>
          </w:p>
        </w:tc>
        <w:tc>
          <w:tcPr>
            <w:tcW w:type="dxa" w:w="1550"/>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574.53</w:t>
            </w:r>
          </w:p>
        </w:tc>
        <w:tc>
          <w:tcPr>
            <w:tcW w:type="dxa" w:w="1550"/>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34.76</w:t>
            </w:r>
          </w:p>
        </w:tc>
        <w:tc>
          <w:tcPr>
            <w:tcW w:type="dxa" w:w="1550"/>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18.11</w:t>
            </w:r>
          </w:p>
        </w:tc>
        <w:tc>
          <w:tcPr>
            <w:tcW w:type="dxa" w:w="1550"/>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10.23</w:t>
            </w:r>
          </w:p>
        </w:tc>
        <w:tc>
          <w:tcPr>
            <w:tcW w:type="dxa" w:w="1550"/>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1.000</w:t>
            </w:r>
          </w:p>
        </w:tc>
      </w:tr>
    </w:tbl>
    <w:p>
      <w:pPr>
        <w:spacing w:after="0"/>
        <w:ind w:firstLine="0"/>
      </w:pPr>
    </w:p>
    <w:p>
      <w:r>
        <w:rPr>
          <w:rFonts w:ascii="宋体" w:hAnsi="宋体" w:eastAsia="宋体" w:cs="宋体"/>
          <w:sz w:val="21"/>
        </w:rPr>
        <w:t>本文布局相对随机布局的配对面积差为 −175.64 m²，95% 自举区间为 [−329.21, −23.17] m²；相对 DOP 的配对面积差为 −111.65 m²，区间为 [−232.06, −0.35] m²。均匀圆周布局的平均覆盖半径 16.32 m 略小于本文的 16.45 m，因此本文只宣称在主要目标 Ω 面积和直径上占优，不宣称所有指标均最优。</w:t>
      </w:r>
    </w:p>
    <w:p>
      <w:r>
        <w:rPr>
          <w:rFonts w:ascii="宋体" w:hAnsi="宋体" w:eastAsia="宋体" w:cs="宋体"/>
          <w:sz w:val="21"/>
        </w:rPr>
        <w:t>检测点由 2 个增至 6 个时，本文嵌套布局的平均面积由 1230.92 m² 降至 237.77 m²。交会角实验中 90° 的平均定位误差最低，为 14.02 m，验证了几何条件对定位精度的影响。</w:t>
      </w:r>
    </w:p>
    <w:p>
      <w:pPr>
        <w:keepNext/>
        <w:ind w:firstLine="0"/>
        <w:jc w:val="center"/>
      </w:pPr>
      <w:r>
        <w:drawing>
          <wp:inline xmlns:a="http://schemas.openxmlformats.org/drawingml/2006/main" xmlns:pic="http://schemas.openxmlformats.org/drawingml/2006/picture">
            <wp:extent cx="5074920" cy="2742546"/>
            <wp:docPr id="3" name="Picture 3"/>
            <wp:cNvGraphicFramePr>
              <a:graphicFrameLocks noChangeAspect="1"/>
            </wp:cNvGraphicFramePr>
            <a:graphic>
              <a:graphicData uri="http://schemas.openxmlformats.org/drawingml/2006/picture">
                <pic:pic>
                  <pic:nvPicPr>
                    <pic:cNvPr id="0" name="fig03_number.png"/>
                    <pic:cNvPicPr/>
                  </pic:nvPicPr>
                  <pic:blipFill>
                    <a:blip r:embed="rId12"/>
                    <a:stretch>
                      <a:fillRect/>
                    </a:stretch>
                  </pic:blipFill>
                  <pic:spPr>
                    <a:xfrm>
                      <a:off x="0" y="0"/>
                      <a:ext cx="5074920" cy="2742546"/>
                    </a:xfrm>
                    <a:prstGeom prst="rect"/>
                  </pic:spPr>
                </pic:pic>
              </a:graphicData>
            </a:graphic>
          </wp:inline>
        </w:drawing>
      </w:r>
    </w:p>
    <w:p>
      <w:pPr>
        <w:keepNext w:val="0"/>
        <w:spacing w:before="40" w:after="120"/>
        <w:ind w:firstLine="0"/>
        <w:jc w:val="center"/>
      </w:pPr>
      <w:r>
        <w:rPr>
          <w:rFonts w:ascii="宋体" w:hAnsi="宋体" w:eastAsia="宋体" w:cs="宋体"/>
          <w:sz w:val="18"/>
        </w:rPr>
        <w:t>图3 检测点数量对 Ω 的影响</w:t>
      </w:r>
    </w:p>
    <w:p>
      <w:pPr>
        <w:keepNext/>
        <w:ind w:firstLine="0"/>
        <w:jc w:val="center"/>
      </w:pPr>
      <w:r>
        <w:drawing>
          <wp:inline xmlns:a="http://schemas.openxmlformats.org/drawingml/2006/main" xmlns:pic="http://schemas.openxmlformats.org/drawingml/2006/picture">
            <wp:extent cx="5074920" cy="2788033"/>
            <wp:docPr id="4" name="Picture 4"/>
            <wp:cNvGraphicFramePr>
              <a:graphicFrameLocks noChangeAspect="1"/>
            </wp:cNvGraphicFramePr>
            <a:graphic>
              <a:graphicData uri="http://schemas.openxmlformats.org/drawingml/2006/picture">
                <pic:pic>
                  <pic:nvPicPr>
                    <pic:cNvPr id="0" name="fig04_angle.png"/>
                    <pic:cNvPicPr/>
                  </pic:nvPicPr>
                  <pic:blipFill>
                    <a:blip r:embed="rId13"/>
                    <a:stretch>
                      <a:fillRect/>
                    </a:stretch>
                  </pic:blipFill>
                  <pic:spPr>
                    <a:xfrm>
                      <a:off x="0" y="0"/>
                      <a:ext cx="5074920" cy="2788033"/>
                    </a:xfrm>
                    <a:prstGeom prst="rect"/>
                  </pic:spPr>
                </pic:pic>
              </a:graphicData>
            </a:graphic>
          </wp:inline>
        </w:drawing>
      </w:r>
    </w:p>
    <w:p>
      <w:pPr>
        <w:keepNext w:val="0"/>
        <w:spacing w:before="40" w:after="120"/>
        <w:ind w:firstLine="0"/>
        <w:jc w:val="center"/>
      </w:pPr>
      <w:r>
        <w:rPr>
          <w:rFonts w:ascii="宋体" w:hAnsi="宋体" w:eastAsia="宋体" w:cs="宋体"/>
          <w:sz w:val="18"/>
        </w:rPr>
        <w:t>图4 交会角对定位误差的影响</w:t>
      </w:r>
    </w:p>
    <w:p>
      <w:r>
        <w:rPr>
          <w:rFonts w:ascii="宋体" w:hAnsi="宋体" w:eastAsia="宋体" w:cs="宋体"/>
          <w:b/>
          <w:sz w:val="21"/>
        </w:rPr>
        <w:t>模块说明。</w:t>
      </w:r>
      <w:r>
        <w:rPr>
          <w:rFonts w:ascii="宋体" w:hAnsi="宋体" w:eastAsia="宋体" w:cs="宋体"/>
          <w:sz w:val="21"/>
        </w:rPr>
        <w:t xml:space="preserve"> 数学上，本模块求解受可达性约束的离散序贯设计问题；设计上，始终用问题一的 Ω 评价候选点并保留量纲；正确性由同场景配对、420 个唯一实验编号和独立半平面参考解验证；输出包括候选点逐项指标、贪心轨迹、布局间配对差和自举区间。</w:t>
      </w:r>
    </w:p>
    <w:p>
      <w:pPr>
        <w:pStyle w:val="Heading1"/>
        <w:ind w:firstLine="0"/>
      </w:pPr>
      <w:r>
        <w:t>6 问题三 全向干扰源的覆盖定位与清除</w:t>
      </w:r>
    </w:p>
    <w:p>
      <w:pPr>
        <w:pStyle w:val="Heading2"/>
        <w:ind w:firstLine="0"/>
      </w:pPr>
      <w:r>
        <w:t>6.1 确定性覆盖布局</w:t>
      </w:r>
    </w:p>
    <w:p>
      <w:r>
        <w:rPr>
          <w:rFonts w:ascii="宋体" w:hAnsi="宋体" w:eastAsia="宋体" w:cs="宋体"/>
          <w:sz w:val="21"/>
        </w:rPr>
        <w:t>问题三全部为全向源。冻结方案取 7 个扫描点：原点和半径 1200 m 正六边形的 6 个顶点。布局在最小接收半径 1000 m 的保守口径下覆盖圆盘，并通过离线几何枚举验证任意源具有至少两个可用检测位置。该布局兼顾固定扫描路程、每频道检测次数和双站交会条件。</w:t>
      </w:r>
    </w:p>
    <w:p>
      <w:r>
        <w:rPr>
          <w:rFonts w:ascii="宋体" w:hAnsi="宋体" w:eastAsia="宋体" w:cs="宋体"/>
          <w:sz w:val="21"/>
        </w:rPr>
        <w:t>机器人沿开放路径访问 7 点，在奇数站按频道 1→20、偶数站按 20→1 检测。蛇形频道顺序减少相邻站之间额外的首尾换频；某频道若已获得满足定位条件的新观测，则跳过对其几何上冗余的重复检测。</w:t>
      </w:r>
    </w:p>
    <w:p>
      <w:pPr>
        <w:pStyle w:val="Heading2"/>
        <w:ind w:firstLine="0"/>
      </w:pPr>
      <w:r>
        <w:t>6.2 定位成熟度与执行位置</w:t>
      </w:r>
    </w:p>
    <w:p>
      <w:r>
        <w:rPr>
          <w:rFonts w:ascii="宋体" w:hAnsi="宋体" w:eastAsia="宋体" w:cs="宋体"/>
          <w:sz w:val="21"/>
        </w:rPr>
        <w:t>每个频道维护问题一的 Ω。当 Ω 外包最小覆盖圆半径 r_out≤20 m 时，覆盖圆心为安全清除目标，记为 MEC 档。若 Ω 尚大，则选择交会角最大的两条示向求最小二乘交点</w:t>
      </w:r>
    </w:p>
    <w:p>
      <w:pPr>
        <w:spacing w:before="80" w:after="80"/>
        <w:ind w:firstLine="0"/>
        <w:jc w:val="center"/>
      </w:pPr>
      <w:r>
        <w:rPr>
          <w:rFonts w:ascii="Cambria Math" w:hAnsi="Cambria Math" w:eastAsia="Cambria Math" w:cs="Cambria Math"/>
          <w:i/>
          <w:sz w:val="21"/>
        </w:rPr>
        <w:t>ĝ=[Σ(I-dᵢdᵢᵀ)]^{-1}Σ(I-dᵢdᵢᵀ)Pᵢ,</w:t>
      </w:r>
    </w:p>
    <w:p>
      <w:r>
        <w:rPr>
          <w:rFonts w:ascii="宋体" w:hAnsi="宋体" w:eastAsia="宋体" w:cs="宋体"/>
          <w:sz w:val="21"/>
        </w:rPr>
        <w:t>其中 dᵢ=(cosθᵢ,sinθᵢ)。该点只作为低成本执行估计，记为 LS 档；若清除失败，状态机继续补测或归航，不能将失败请求误记为已清除。</w:t>
      </w:r>
    </w:p>
    <w:p>
      <w:pPr>
        <w:pStyle w:val="Heading2"/>
        <w:ind w:firstLine="0"/>
      </w:pPr>
      <w:r>
        <w:t>6.3 顺路清除与队列调度</w:t>
      </w:r>
    </w:p>
    <w:p>
      <w:r>
        <w:rPr>
          <w:rFonts w:ascii="宋体" w:hAnsi="宋体" w:eastAsia="宋体" w:cs="宋体"/>
          <w:sz w:val="21"/>
        </w:rPr>
        <w:t>扫描从当前点 A 前往下一扫描点 B 时，对已定位频道的目标 G 计算插入增量</w:t>
      </w:r>
    </w:p>
    <w:p>
      <w:pPr>
        <w:spacing w:before="80" w:after="80"/>
        <w:ind w:firstLine="0"/>
        <w:jc w:val="center"/>
      </w:pPr>
      <w:r>
        <w:rPr>
          <w:rFonts w:ascii="Cambria Math" w:hAnsi="Cambria Math" w:eastAsia="Cambria Math" w:cs="Cambria Math"/>
          <w:i/>
          <w:sz w:val="21"/>
        </w:rPr>
        <w:t>ΔL=||A-G||+||G-B||-||A-B||.</w:t>
      </w:r>
    </w:p>
    <w:p>
      <w:r>
        <w:rPr>
          <w:rFonts w:ascii="宋体" w:hAnsi="宋体" w:eastAsia="宋体" w:cs="宋体"/>
          <w:sz w:val="21"/>
        </w:rPr>
        <w:t>仅当 ΔL≤δ_on=300 m 时执行顺路清除。扫描结束后，将其余清除任务以“频道、坐标、定位来源”组成不可分割元组，先用最近邻构造开放路径，再用包含尾段反转的 2-opt 改进。任务级表示避免多个频道估计在同一坐标时通过坐标反查导致覆盖或错配。</w:t>
      </w:r>
    </w:p>
    <w:p>
      <w:pPr>
        <w:pStyle w:val="Heading2"/>
        <w:ind w:firstLine="0"/>
      </w:pPr>
      <w:r>
        <w:t>6.4 失败兜底与结束条件</w:t>
      </w:r>
    </w:p>
    <w:p>
      <w:r>
        <w:rPr>
          <w:rFonts w:ascii="宋体" w:hAnsi="宋体" w:eastAsia="宋体" w:cs="宋体"/>
          <w:sz w:val="21"/>
        </w:rPr>
        <w:t>仅有单示向或交会退化时，先在垂直于示向的方向选点补测，以形成较大交会角；仍不能可靠定位时，沿已有示向进行二分归航。</w:t>
      </w:r>
      <w:r>
        <w:rPr>
          <w:rFonts w:ascii="Consolas" w:hAnsi="Consolas" w:eastAsia="Consolas" w:cs="Consolas"/>
          <w:sz w:val="21"/>
        </w:rPr>
        <w:t>_homing_clear</w:t>
      </w:r>
      <w:r>
        <w:rPr>
          <w:rFonts w:ascii="宋体" w:hAnsi="宋体" w:eastAsia="宋体" w:cs="宋体"/>
          <w:sz w:val="21"/>
        </w:rPr>
        <w:t xml:space="preserve"> 返回布尔值，只有 HTTP 请求被接受且 </w:t>
      </w:r>
      <w:r>
        <w:rPr>
          <w:rFonts w:ascii="Consolas" w:hAnsi="Consolas" w:eastAsia="Consolas" w:cs="Consolas"/>
          <w:sz w:val="21"/>
        </w:rPr>
        <w:t>clear_result=success</w:t>
      </w:r>
      <w:r>
        <w:rPr>
          <w:rFonts w:ascii="宋体" w:hAnsi="宋体" w:eastAsia="宋体" w:cs="宋体"/>
          <w:sz w:val="21"/>
        </w:rPr>
        <w:t xml:space="preserve"> 才把频道标记为 cleared。退出前逐频道核验，</w:t>
      </w:r>
      <w:r>
        <w:rPr>
          <w:rFonts w:ascii="Consolas" w:hAnsi="Consolas" w:eastAsia="Consolas" w:cs="Consolas"/>
          <w:sz w:val="21"/>
        </w:rPr>
        <w:t>unresolved_list</w:t>
      </w:r>
      <w:r>
        <w:rPr>
          <w:rFonts w:ascii="宋体" w:hAnsi="宋体" w:eastAsia="宋体" w:cs="宋体"/>
          <w:sz w:val="21"/>
        </w:rPr>
        <w:t xml:space="preserve"> 非空则记录警告，不用程序内部估计替代模拟器确认。</w:t>
      </w:r>
    </w:p>
    <w:p>
      <w:pPr>
        <w:pStyle w:val="Heading2"/>
        <w:ind w:firstLine="0"/>
      </w:pPr>
      <w:r>
        <w:t>6.5 离线与实机结果</w:t>
      </w:r>
    </w:p>
    <w:p>
      <w:r>
        <w:rPr>
          <w:rFonts w:ascii="宋体" w:hAnsi="宋体" w:eastAsia="宋体" w:cs="宋体"/>
          <w:sz w:val="21"/>
        </w:rPr>
        <w:t>1000 例离线自检全部清除，平均移动 18462 m、平均检测 136 次、估计虚拟时间 4371 s。7 局可比实机日志均全部清除，平均虚拟时间为 3997.5 s，标准差 522.2 s，变异系数 13.1%。回归结果为</w:t>
      </w:r>
    </w:p>
    <w:p>
      <w:pPr>
        <w:spacing w:before="80" w:after="80"/>
        <w:ind w:firstLine="0"/>
        <w:jc w:val="center"/>
      </w:pPr>
      <w:r>
        <w:rPr>
          <w:rFonts w:ascii="Cambria Math" w:hAnsi="Cambria Math" w:eastAsia="Cambria Math" w:cs="Cambria Math"/>
          <w:i/>
          <w:sz w:val="21"/>
        </w:rPr>
        <w:t>T₃≈1370+211.4N_source, R²=92.1%.</w:t>
      </w:r>
    </w:p>
    <w:p>
      <w:r>
        <w:rPr>
          <w:rFonts w:ascii="宋体" w:hAnsi="宋体" w:eastAsia="宋体" w:cs="宋体"/>
          <w:sz w:val="21"/>
        </w:rPr>
        <w:t>因此总时间表面波动主要来自每局源数 10—16 的随机变化，而不是程序失稳。剔除固定扫描成本后，扫描后时间按源归一约为 164—204 s/源；7 局平均总时间/源约 325 s。</w:t>
      </w:r>
    </w:p>
    <w:tbl>
      <w:tblPr>
        <w:tblStyle w:val="TableGrid"/>
        <w:tblW w:type="auto" w:w="0"/>
        <w:jc w:val="center"/>
        <w:tblLayout w:type="autofit"/>
        <w:tblLook w:firstColumn="1" w:firstRow="1" w:lastColumn="0" w:lastRow="0" w:noHBand="0" w:noVBand="1" w:val="04A0"/>
      </w:tblPr>
      <w:tblGrid>
        <w:gridCol w:w="4649"/>
        <w:gridCol w:w="4649"/>
      </w:tblGrid>
      <w:tr>
        <w:trPr>
          <w:tblHeader w:val="true"/>
        </w:trPr>
        <w:tc>
          <w:tcPr>
            <w:tcW w:type="dxa" w:w="4649"/>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验证项</w:t>
            </w:r>
          </w:p>
        </w:tc>
        <w:tc>
          <w:tcPr>
            <w:tcW w:type="dxa" w:w="4649"/>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结果</w:t>
            </w:r>
          </w:p>
        </w:tc>
      </w:tr>
      <w:tr>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离线自检</w:t>
            </w:r>
          </w:p>
        </w:tc>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1000/1000 全清</w:t>
            </w:r>
          </w:p>
        </w:tc>
      </w:tr>
      <w:tr>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实机有效局</w:t>
            </w:r>
          </w:p>
        </w:tc>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7/7 全清</w:t>
            </w:r>
          </w:p>
        </w:tc>
      </w:tr>
      <w:tr>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accepted=false</w:t>
            </w:r>
          </w:p>
        </w:tc>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0</w:t>
            </w:r>
          </w:p>
        </w:tc>
      </w:tr>
      <w:tr>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重复 request_id</w:t>
            </w:r>
          </w:p>
        </w:tc>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0</w:t>
            </w:r>
          </w:p>
        </w:tc>
      </w:tr>
      <w:tr>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unresolved_list 非空</w:t>
            </w:r>
          </w:p>
        </w:tc>
        <w:tc>
          <w:tcPr>
            <w:tcW w:type="dxa" w:w="464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0</w:t>
            </w:r>
          </w:p>
        </w:tc>
      </w:tr>
      <w:tr>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总时间与源数回归 R²</w:t>
            </w:r>
          </w:p>
        </w:tc>
        <w:tc>
          <w:tcPr>
            <w:tcW w:type="dxa" w:w="464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92.1%</w:t>
            </w:r>
          </w:p>
        </w:tc>
      </w:tr>
    </w:tbl>
    <w:p>
      <w:pPr>
        <w:spacing w:after="0"/>
        <w:ind w:firstLine="0"/>
      </w:pPr>
    </w:p>
    <w:p>
      <w:r>
        <w:rPr>
          <w:rFonts w:ascii="宋体" w:hAnsi="宋体" w:eastAsia="宋体" w:cs="宋体"/>
          <w:b/>
          <w:sz w:val="21"/>
        </w:rPr>
        <w:t>模块说明。</w:t>
      </w:r>
      <w:r>
        <w:rPr>
          <w:rFonts w:ascii="宋体" w:hAnsi="宋体" w:eastAsia="宋体" w:cs="宋体"/>
          <w:sz w:val="21"/>
        </w:rPr>
        <w:t xml:space="preserve"> 数学上，本模块是覆盖路径、区域定位和开放路径调度的串行组合；设计上，固定覆盖保证发现，300 m 插入阈值控制顺路绕行，失败归航保证状态闭环；正确性由 1000 例自检、实机请求唯一性和退出前频道核验验证；输出包括动作级 JSONL、phase_stats、locate_stats、总距离、虚拟时间和未解决频道表。</w:t>
      </w:r>
    </w:p>
    <w:p>
      <w:pPr>
        <w:pStyle w:val="Heading1"/>
        <w:ind w:firstLine="0"/>
      </w:pPr>
      <w:r>
        <w:t>7 问题四 混合方向源的证书化覆盖与清除</w:t>
      </w:r>
    </w:p>
    <w:p>
      <w:pPr>
        <w:pStyle w:val="Heading2"/>
        <w:ind w:firstLine="0"/>
      </w:pPr>
      <w:r>
        <w:t>7.1 无信号的三义性</w:t>
      </w:r>
    </w:p>
    <w:p>
      <w:r>
        <w:rPr>
          <w:rFonts w:ascii="宋体" w:hAnsi="宋体" w:eastAsia="宋体" w:cs="宋体"/>
          <w:sz w:val="21"/>
        </w:rPr>
        <w:t>定向源只在一个 180° 半平面内发射。某频道返回 no_signal 可能表示频道不存在、检测点超出接收半径，也可能表示检测点落在方向盲区。因此问题三“若多站均无信号则不存在”的经验判断不能直接沿用。需要从环绕覆盖结构中构造可核验的排除证书。</w:t>
      </w:r>
    </w:p>
    <w:p>
      <w:pPr>
        <w:pStyle w:val="Heading2"/>
        <w:ind w:firstLine="0"/>
      </w:pPr>
      <w:r>
        <w:t>7.2 31 点三角网格与排除证书</w:t>
      </w:r>
    </w:p>
    <w:p>
      <w:r>
        <w:rPr>
          <w:rFonts w:ascii="宋体" w:hAnsi="宋体" w:eastAsia="宋体" w:cs="宋体"/>
          <w:sz w:val="21"/>
        </w:rPr>
        <w:t>冻结方案在场地及边界裕度上布置边长 MESH_A=900 m 的三角网格，共 31 个顶点和 42 个覆盖三角形，MESH_MARGIN=800 m。程序对每个频道维护 no_signal 顶点集合 N_ch。若某覆盖三角形的三个顶点都属于 N_ch，则在接收距离与半平面可见性的保守几何条件下，该三角形内不存在该频道的定向源；当全部覆盖三角形均被证伪时，才将频道安全退役。</w:t>
      </w:r>
    </w:p>
    <w:p>
      <w:r>
        <w:rPr>
          <w:rFonts w:ascii="宋体" w:hAnsi="宋体" w:eastAsia="宋体" w:cs="宋体"/>
          <w:sz w:val="21"/>
        </w:rPr>
        <w:t>证书依赖真实网格编号而非访问次序。工程修正后，路径元素直接携带 (mesh_index,x,y)，31 个点各访问一次，原点只出现一次；摘要固定输出 certificate_index_ok。一个固定种子回归案例中，旧实现因编号混用把真实频道 8 误判为不存在，修复后 60 例证书测试达到 0 漏清、0 误排除，说明逻辑证书比小样本清除率更能揭示结构错误。</w:t>
      </w:r>
    </w:p>
    <w:p>
      <w:pPr>
        <w:pStyle w:val="Heading2"/>
        <w:ind w:firstLine="0"/>
      </w:pPr>
      <w:r>
        <w:t>7.3 定位、调度和困难源处理</w:t>
      </w:r>
    </w:p>
    <w:p>
      <w:r>
        <w:rPr>
          <w:rFonts w:ascii="宋体" w:hAnsi="宋体" w:eastAsia="宋体" w:cs="宋体"/>
          <w:sz w:val="21"/>
        </w:rPr>
        <w:t>对已获得两条以上示向的频道，仍调用问题一计算 Ω，并沿用 MEC/LS 两档执行位置。扫描过程中使用 δ_on=300 m 的受限顺路清除，扫描后采用任务级开放路径 2-opt。单示向频道先选择最近的有效补测点；若补测落入盲区或交会角仍退化，则沿一条或多条历史示向分别进行二分归航。归航点清除失败后，在半径 8 m 和 15 m 的圆周上各取 6 个邻域点试探，作为低成本最后手段。所有失败都保留在日志中，后续成功才关闭频道。</w:t>
      </w:r>
    </w:p>
    <w:p>
      <w:pPr>
        <w:pStyle w:val="Heading2"/>
        <w:ind w:firstLine="0"/>
      </w:pPr>
      <w:r>
        <w:t>7.4 实机稳定性</w:t>
      </w:r>
    </w:p>
    <w:p>
      <w:r>
        <w:rPr>
          <w:rFonts w:ascii="宋体" w:hAnsi="宋体" w:eastAsia="宋体" w:cs="宋体"/>
          <w:sz w:val="21"/>
        </w:rPr>
        <w:t>冻结版 11 局实机均实现全清、</w:t>
      </w:r>
      <w:r>
        <w:rPr>
          <w:rFonts w:ascii="Consolas" w:hAnsi="Consolas" w:eastAsia="Consolas" w:cs="Consolas"/>
          <w:sz w:val="21"/>
        </w:rPr>
        <w:t>unresolved_list=[]</w:t>
      </w:r>
      <w:r>
        <w:rPr>
          <w:rFonts w:ascii="宋体" w:hAnsi="宋体" w:eastAsia="宋体" w:cs="宋体"/>
          <w:sz w:val="21"/>
        </w:rPr>
        <w:t>、</w:t>
      </w:r>
      <w:r>
        <w:rPr>
          <w:rFonts w:ascii="Consolas" w:hAnsi="Consolas" w:eastAsia="Consolas" w:cs="Consolas"/>
          <w:sz w:val="21"/>
        </w:rPr>
        <w:t>certificate_index_ok=true</w:t>
      </w:r>
      <w:r>
        <w:rPr>
          <w:rFonts w:ascii="宋体" w:hAnsi="宋体" w:eastAsia="宋体" w:cs="宋体"/>
          <w:sz w:val="21"/>
        </w:rPr>
        <w:t>，平均虚拟时间 10784.0 s，标准差 701.8 s，变异系数 6.5%。其中一局耗时 12676.6 s，主要由单个困难定向源触发 4.66 km 远距离补测后仍仅形成 28.2° 交会角，继而再次归航。剔除此机制明确的长尾局后，其余 10 局平均 10594.7 s、标准差 330.7 s、变异系数 3.1%。因此当前不应把随机场景总时间差异解释为程序不稳定；应按源数、是否定向、是否触发补测/归航分层报告 P90、P95 和最大值。</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阶段</w:t>
            </w:r>
          </w:p>
        </w:tc>
        <w:tc>
          <w:tcPr>
            <w:tcW w:type="dxa" w:w="3099"/>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主要动作</w:t>
            </w:r>
          </w:p>
        </w:tc>
        <w:tc>
          <w:tcPr>
            <w:tcW w:type="dxa" w:w="3099"/>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可观测诊断量</w:t>
            </w:r>
          </w:p>
        </w:tc>
      </w:tr>
      <w:tr>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mesh_scan</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三角网格逐频道扫描</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移动、检测、无信号顶点、证书状态</w:t>
            </w:r>
          </w:p>
        </w:tc>
      </w:tr>
      <w:tr>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on_way</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300 m 阈值内顺路清除</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插入距离、成功/失败、归航转移</w:t>
            </w:r>
          </w:p>
        </w:tc>
      </w:tr>
      <w:tr>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supplement</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单示向或退化几何补测</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最近补测点距离、交会角、是否跳过</w:t>
            </w:r>
          </w:p>
        </w:tc>
      </w:tr>
      <w:tr>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homing</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沿示向二分归航</w:t>
            </w:r>
          </w:p>
        </w:tc>
        <w:tc>
          <w:tcPr>
            <w:tcW w:type="dxa" w:w="3099"/>
            <w:vAlign w:val="center"/>
            <w:tcMar>
              <w:top w:w="80" w:type="dxa"/>
              <w:start w:w="100" w:type="dxa"/>
              <w:bottom w:w="80" w:type="dxa"/>
              <w:end w:w="100" w:type="dxa"/>
            </w:tcMar>
            <w:shd w:fill="F7FAFC"/>
          </w:tcPr>
          <w:p>
            <w:pPr>
              <w:spacing w:line="252" w:lineRule="auto" w:after="0"/>
              <w:ind w:firstLine="0"/>
              <w:jc w:val="left"/>
            </w:pPr>
            <w:r>
              <w:rPr>
                <w:rFonts w:ascii="宋体" w:hAnsi="宋体" w:eastAsia="宋体" w:cs="宋体"/>
                <w:sz w:val="17"/>
              </w:rPr>
              <w:t>episode 数、换示向次数、补回结果</w:t>
            </w:r>
          </w:p>
        </w:tc>
      </w:tr>
      <w:tr>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queue_clear</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剩余任务开放路径清除</w:t>
            </w:r>
          </w:p>
        </w:tc>
        <w:tc>
          <w:tcPr>
            <w:tcW w:type="dxa" w:w="3099"/>
            <w:vAlign w:val="center"/>
            <w:tcMar>
              <w:top w:w="80" w:type="dxa"/>
              <w:start w:w="100" w:type="dxa"/>
              <w:bottom w:w="80" w:type="dxa"/>
              <w:end w:w="100" w:type="dxa"/>
            </w:tcMar>
          </w:tcPr>
          <w:p>
            <w:pPr>
              <w:spacing w:line="252" w:lineRule="auto" w:after="0"/>
              <w:ind w:firstLine="0"/>
              <w:jc w:val="left"/>
            </w:pPr>
            <w:r>
              <w:rPr>
                <w:rFonts w:ascii="宋体" w:hAnsi="宋体" w:eastAsia="宋体" w:cs="宋体"/>
                <w:sz w:val="17"/>
              </w:rPr>
              <w:t>队列路程、2-opt 改善、最终状态</w:t>
            </w:r>
          </w:p>
        </w:tc>
      </w:tr>
    </w:tbl>
    <w:p>
      <w:pPr>
        <w:spacing w:after="0"/>
        <w:ind w:firstLine="0"/>
      </w:pPr>
    </w:p>
    <w:p>
      <w:r>
        <w:rPr>
          <w:rFonts w:ascii="宋体" w:hAnsi="宋体" w:eastAsia="宋体" w:cs="宋体"/>
          <w:b/>
          <w:sz w:val="21"/>
        </w:rPr>
        <w:t>模块说明。</w:t>
      </w:r>
      <w:r>
        <w:rPr>
          <w:rFonts w:ascii="宋体" w:hAnsi="宋体" w:eastAsia="宋体" w:cs="宋体"/>
          <w:sz w:val="21"/>
        </w:rPr>
        <w:t xml:space="preserve"> 数学上，本模块用三角剖分把定向半平面可见性转化为有限证书；设计上，只有证书完整才排除频道，其他情形继续定位和归航；正确性由网格索引一致性、固定种子证书回归和实机全清核验保证；输出包括逐频道三角形证书、supp_diag、homing_diag、分阶段时间及长尾来源。</w:t>
      </w:r>
    </w:p>
    <w:p>
      <w:pPr>
        <w:pStyle w:val="Heading1"/>
        <w:ind w:firstLine="0"/>
      </w:pPr>
      <w:r>
        <w:t>8 消融实验与冻结决策</w:t>
      </w:r>
    </w:p>
    <w:p>
      <w:pPr>
        <w:pStyle w:val="Heading2"/>
        <w:ind w:firstLine="0"/>
      </w:pPr>
      <w:r>
        <w:t>8.1 为什么不把复杂算法写入主模型</w:t>
      </w:r>
    </w:p>
    <w:p>
      <w:r>
        <w:rPr>
          <w:rFonts w:ascii="宋体" w:hAnsi="宋体" w:eastAsia="宋体" w:cs="宋体"/>
          <w:sz w:val="21"/>
        </w:rPr>
        <w:t>本文以“同一随机场景、同一随机种子、只改变一个模块”的配对方式评价候选改进。判断顺序为：全清率和证书正确性不能下降；其次看总时间、移动距离及 P90/P95/最大值；若均值差的置信区间跨 0 或收益只在极少数场景出现，则不修改正式默认值。由此，算法复杂度本身不构成采用理由。</w:t>
      </w:r>
    </w:p>
    <w:p>
      <w:pPr>
        <w:pStyle w:val="Heading2"/>
        <w:ind w:firstLine="0"/>
      </w:pPr>
      <w:r>
        <w:t>8.2 问题二布局消融</w:t>
      </w:r>
    </w:p>
    <w:p>
      <w:r>
        <w:rPr>
          <w:rFonts w:ascii="宋体" w:hAnsi="宋体" w:eastAsia="宋体" w:cs="宋体"/>
          <w:sz w:val="21"/>
        </w:rPr>
        <w:t>随机布局、均匀圆周、DOP 筛选与 Ω 面积贪心使用相同候选集和观测误差。Ω 面积贪心相对 DOP 的面积差区间整体小于 0，而 DOP 不包含场地截断、非线性角域和距离造成的区域宽度，因此 DOP 只保留为诊断指标，不进入最终选点目标。</w:t>
      </w:r>
    </w:p>
    <w:p>
      <w:pPr>
        <w:pStyle w:val="Heading2"/>
        <w:ind w:firstLine="0"/>
      </w:pPr>
      <w:r>
        <w:t>8.3 问题三 LS 清除门限</w:t>
      </w:r>
    </w:p>
    <w:p>
      <w:r>
        <w:rPr>
          <w:rFonts w:ascii="宋体" w:hAnsi="宋体" w:eastAsia="宋体" w:cs="宋体"/>
          <w:sz w:val="21"/>
        </w:rPr>
        <w:t>MEC 档首次清除成功率为 100%，LS 档约为 89.6%—91.8%，但这并不意味着应拒绝 LS 点试探。对同一批 300 例设置 Ω 半径门限，结果如下。</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trPr>
        <w:tc>
          <w:tcPr>
            <w:tcW w:type="dxa" w:w="2324"/>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LS 允许条件</w:t>
            </w:r>
          </w:p>
        </w:tc>
        <w:tc>
          <w:tcPr>
            <w:tcW w:type="dxa" w:w="2324"/>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清除率</w:t>
            </w:r>
          </w:p>
        </w:tc>
        <w:tc>
          <w:tcPr>
            <w:tcW w:type="dxa" w:w="2324"/>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相对当前时间/s</w:t>
            </w:r>
          </w:p>
        </w:tc>
        <w:tc>
          <w:tcPr>
            <w:tcW w:type="dxa" w:w="2324"/>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相对当前移动/m</w:t>
            </w:r>
          </w:p>
        </w:tc>
      </w:tr>
      <w:tr>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当前：不设门限</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100%</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0</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0</w:t>
            </w:r>
          </w:p>
        </w:tc>
      </w:tr>
      <w:tr>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Ω≤40 m</w:t>
            </w:r>
          </w:p>
        </w:tc>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100%</w:t>
            </w:r>
          </w:p>
        </w:tc>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+24.6</w:t>
            </w:r>
          </w:p>
        </w:tc>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+78.6</w:t>
            </w:r>
          </w:p>
        </w:tc>
      </w:tr>
      <w:tr>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Ω≤30 m</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100%</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+421.5</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+1880.8</w:t>
            </w:r>
          </w:p>
        </w:tc>
      </w:tr>
      <w:tr>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Ω≤25 m</w:t>
            </w:r>
          </w:p>
        </w:tc>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100%</w:t>
            </w:r>
          </w:p>
        </w:tc>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+892.9</w:t>
            </w:r>
          </w:p>
        </w:tc>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+4031.6</w:t>
            </w:r>
          </w:p>
        </w:tc>
      </w:tr>
      <w:tr>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Ω≤20 m，仅 MEC</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100%</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+2646.0</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+12016.8</w:t>
            </w:r>
          </w:p>
        </w:tc>
      </w:tr>
    </w:tbl>
    <w:p>
      <w:pPr>
        <w:spacing w:after="0"/>
        <w:ind w:firstLine="0"/>
      </w:pPr>
    </w:p>
    <w:p>
      <w:r>
        <w:rPr>
          <w:rFonts w:ascii="宋体" w:hAnsi="宋体" w:eastAsia="宋体" w:cs="宋体"/>
          <w:sz w:val="21"/>
        </w:rPr>
        <w:t xml:space="preserve">失败清除只损失 3 s，之后仍有归航兜底；拒绝试探则立即增加一次检测和往返移动。因此门限越紧越差，正式值保持 </w:t>
      </w:r>
      <w:r>
        <w:rPr>
          <w:rFonts w:ascii="Consolas" w:hAnsi="Consolas" w:eastAsia="Consolas" w:cs="Consolas"/>
          <w:sz w:val="21"/>
        </w:rPr>
        <w:t>LS_CLEAR_GATE=None</w:t>
      </w:r>
      <w:r>
        <w:rPr>
          <w:rFonts w:ascii="宋体" w:hAnsi="宋体" w:eastAsia="宋体" w:cs="宋体"/>
          <w:sz w:val="21"/>
        </w:rPr>
        <w:t>。</w:t>
      </w:r>
    </w:p>
    <w:p>
      <w:pPr>
        <w:pStyle w:val="Heading2"/>
        <w:ind w:firstLine="0"/>
      </w:pPr>
      <w:r>
        <w:t>8.4 问题四顺路阈值的实机交错实验</w:t>
      </w:r>
    </w:p>
    <w:p>
      <w:r>
        <w:rPr>
          <w:rFonts w:ascii="宋体" w:hAnsi="宋体" w:eastAsia="宋体" w:cs="宋体"/>
          <w:sz w:val="21"/>
        </w:rPr>
        <w:t>对 δ_on=300 m 与 500 m 进行 300→500→500→300 的同时间窗交错实机测试，并用全部可用实机日志按源归一。500 m 确实把更多清除前移到扫描阶段，使扫描后时间每源减少 30.4 s；但顺路绕行每源增加 51.5 s，最终总时间每源增加 56.0 s，归航和失败清除也略增。因此正式值保持 300 m。</w:t>
      </w:r>
    </w:p>
    <w:tbl>
      <w:tblPr>
        <w:tblStyle w:val="TableGrid"/>
        <w:tblW w:type="auto" w:w="0"/>
        <w:jc w:val="center"/>
        <w:tblLayout w:type="autofit"/>
        <w:tblLook w:firstColumn="1" w:firstRow="1" w:lastColumn="0" w:lastRow="0" w:noHBand="0" w:noVBand="1" w:val="04A0"/>
      </w:tblPr>
      <w:tblGrid>
        <w:gridCol w:w="2324"/>
        <w:gridCol w:w="2324"/>
        <w:gridCol w:w="2324"/>
        <w:gridCol w:w="2324"/>
      </w:tblGrid>
      <w:tr>
        <w:trPr>
          <w:tblHeader w:val="true"/>
        </w:trPr>
        <w:tc>
          <w:tcPr>
            <w:tcW w:type="dxa" w:w="2324"/>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指标</w:t>
            </w:r>
          </w:p>
        </w:tc>
        <w:tc>
          <w:tcPr>
            <w:tcW w:type="dxa" w:w="2324"/>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300 m，16局</w:t>
            </w:r>
          </w:p>
        </w:tc>
        <w:tc>
          <w:tcPr>
            <w:tcW w:type="dxa" w:w="2324"/>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500 m，4局</w:t>
            </w:r>
          </w:p>
        </w:tc>
        <w:tc>
          <w:tcPr>
            <w:tcW w:type="dxa" w:w="2324"/>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差值</w:t>
            </w:r>
          </w:p>
        </w:tc>
      </w:tr>
      <w:tr>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总虚拟时间/源/s</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788.4</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844.4</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+56.0</w:t>
            </w:r>
          </w:p>
        </w:tc>
      </w:tr>
      <w:tr>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顺路时间/源/s</w:t>
            </w:r>
          </w:p>
        </w:tc>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49.7</w:t>
            </w:r>
          </w:p>
        </w:tc>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101.2</w:t>
            </w:r>
          </w:p>
        </w:tc>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+51.5</w:t>
            </w:r>
          </w:p>
        </w:tc>
      </w:tr>
      <w:tr>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扫描后时间/源/s</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121.0</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90.6</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−30.4</w:t>
            </w:r>
          </w:p>
        </w:tc>
      </w:tr>
      <w:tr>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清除阶段时间/源/s</w:t>
            </w:r>
          </w:p>
        </w:tc>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170.7</w:t>
            </w:r>
          </w:p>
        </w:tc>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191.8</w:t>
            </w:r>
          </w:p>
        </w:tc>
        <w:tc>
          <w:tcPr>
            <w:tcW w:type="dxa" w:w="2324"/>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+21.1</w:t>
            </w:r>
          </w:p>
        </w:tc>
      </w:tr>
      <w:tr>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归航 episode/局</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0.2</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0.5</w:t>
            </w:r>
          </w:p>
        </w:tc>
        <w:tc>
          <w:tcPr>
            <w:tcW w:type="dxa" w:w="2324"/>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+0.3</w:t>
            </w:r>
          </w:p>
        </w:tc>
      </w:tr>
    </w:tbl>
    <w:p>
      <w:pPr>
        <w:spacing w:after="0"/>
        <w:ind w:firstLine="0"/>
      </w:pPr>
    </w:p>
    <w:p>
      <w:pPr>
        <w:pStyle w:val="Heading2"/>
        <w:ind w:firstLine="0"/>
      </w:pPr>
      <w:r>
        <w:t>8.5 问题四邻域圈与补测距离上限</w:t>
      </w:r>
    </w:p>
    <w:p>
      <w:r>
        <w:rPr>
          <w:rFonts w:ascii="宋体" w:hAnsi="宋体" w:eastAsia="宋体" w:cs="宋体"/>
          <w:sz w:val="21"/>
        </w:rPr>
        <w:t>每档 400 例的邻域四臂实验显示，取消邻域试探并未降低时间，反而把负担转移给重复二分归航；仅保留 15 m 圈虽节省约 1—2 s，但收益仅约 0.02%，不足以在缺少实机证据时改变默认值，故保留 8 m+15 m 两圈。</w:t>
      </w:r>
    </w:p>
    <w:p>
      <w:r>
        <w:rPr>
          <w:rFonts w:ascii="宋体" w:hAnsi="宋体" w:eastAsia="宋体" w:cs="宋体"/>
          <w:sz w:val="21"/>
        </w:rPr>
        <w:t xml:space="preserve">补测距离上限取 1500、2500、3500 m 时，两种定向比例下均保持 100% 全清，但所有时间差 95% 区间均跨 0，且多个阈值使最大时间增加。以 100% 定向为例，基线平均/P95/最大为 10704/11392/12159 s，2500 m 上限为 10705/11367/13136 s：P95 略降而最大值增加 977 s，未达到稳定压缩长尾的目标，故 </w:t>
      </w:r>
      <w:r>
        <w:rPr>
          <w:rFonts w:ascii="Consolas" w:hAnsi="Consolas" w:eastAsia="Consolas" w:cs="Consolas"/>
          <w:sz w:val="21"/>
        </w:rPr>
        <w:t>SUPP_MAX_DIST=None</w:t>
      </w:r>
      <w:r>
        <w:rPr>
          <w:rFonts w:ascii="宋体" w:hAnsi="宋体" w:eastAsia="宋体" w:cs="宋体"/>
          <w:sz w:val="21"/>
        </w:rPr>
        <w:t>。</w:t>
      </w:r>
    </w:p>
    <w:p>
      <w:pPr>
        <w:pStyle w:val="Heading2"/>
        <w:ind w:firstLine="0"/>
      </w:pPr>
      <w:r>
        <w:t>8.6 其他被否决模块</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模块</w:t>
            </w:r>
          </w:p>
        </w:tc>
        <w:tc>
          <w:tcPr>
            <w:tcW w:type="dxa" w:w="3099"/>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实验现象</w:t>
            </w:r>
          </w:p>
        </w:tc>
        <w:tc>
          <w:tcPr>
            <w:tcW w:type="dxa" w:w="3099"/>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决策</w:t>
            </w:r>
          </w:p>
        </w:tc>
      </w:tr>
      <w:tr>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概率图排序</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问题三时间增加约 789 s</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关闭</w:t>
            </w:r>
          </w:p>
        </w:tc>
      </w:tr>
      <w:tr>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DOP 预筛</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问题三时间增加约 84 s</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关闭</w:t>
            </w:r>
          </w:p>
        </w:tc>
      </w:tr>
      <w:tr>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改进 PSO 精化</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定位误差改善不足 0.1 m</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关闭</w:t>
            </w:r>
          </w:p>
        </w:tc>
      </w:tr>
      <w:tr>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清除后多方向复核</w:t>
            </w:r>
          </w:p>
        </w:tc>
        <w:tc>
          <w:tcPr>
            <w:tcW w:type="dxa" w:w="3099"/>
            <w:vAlign w:val="center"/>
            <w:tcMar>
              <w:top w:w="80" w:type="dxa"/>
              <w:start w:w="100" w:type="dxa"/>
              <w:bottom w:w="80" w:type="dxa"/>
              <w:end w:w="100" w:type="dxa"/>
            </w:tcMar>
            <w:shd w:fill="F7FAFC"/>
          </w:tcPr>
          <w:p>
            <w:pPr>
              <w:spacing w:line="252" w:lineRule="auto" w:after="0"/>
              <w:ind w:firstLine="0"/>
              <w:jc w:val="left"/>
            </w:pPr>
            <w:r>
              <w:rPr>
                <w:rFonts w:ascii="宋体" w:hAnsi="宋体" w:eastAsia="宋体" w:cs="宋体"/>
                <w:sz w:val="17"/>
              </w:rPr>
              <w:t>增加约 11.9 km、2536 s，完成率无提升</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关闭</w:t>
            </w:r>
          </w:p>
        </w:tc>
      </w:tr>
      <w:tr>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负信息联合可行域</w:t>
            </w:r>
          </w:p>
        </w:tc>
        <w:tc>
          <w:tcPr>
            <w:tcW w:type="dxa" w:w="3099"/>
            <w:vAlign w:val="center"/>
            <w:tcMar>
              <w:top w:w="80" w:type="dxa"/>
              <w:start w:w="100" w:type="dxa"/>
              <w:bottom w:w="80" w:type="dxa"/>
              <w:end w:w="100" w:type="dxa"/>
            </w:tcMar>
          </w:tcPr>
          <w:p>
            <w:pPr>
              <w:spacing w:line="252" w:lineRule="auto" w:after="0"/>
              <w:ind w:firstLine="0"/>
              <w:jc w:val="left"/>
            </w:pPr>
            <w:r>
              <w:rPr>
                <w:rFonts w:ascii="宋体" w:hAnsi="宋体" w:eastAsia="宋体" w:cs="宋体"/>
                <w:sz w:val="17"/>
              </w:rPr>
              <w:t>当前流程中几乎不触发，8 例与基准完全一致</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关闭</w:t>
            </w:r>
          </w:p>
        </w:tc>
      </w:tr>
    </w:tbl>
    <w:p>
      <w:pPr>
        <w:spacing w:after="0"/>
        <w:ind w:firstLine="0"/>
      </w:pPr>
    </w:p>
    <w:p>
      <w:pPr>
        <w:pStyle w:val="Heading1"/>
        <w:ind w:firstLine="0"/>
      </w:pPr>
      <w:r>
        <w:t>9 模型检验、稳定性与复现</w:t>
      </w:r>
    </w:p>
    <w:p>
      <w:pPr>
        <w:pStyle w:val="Heading2"/>
        <w:ind w:firstLine="0"/>
      </w:pPr>
      <w:r>
        <w:t>9.1 数学正确性检验</w:t>
      </w:r>
    </w:p>
    <w:p>
      <w:r>
        <w:rPr>
          <w:rFonts w:ascii="宋体" w:hAnsi="宋体" w:eastAsia="宋体" w:cs="宋体"/>
          <w:sz w:val="21"/>
        </w:rPr>
        <w:t>问题一覆盖角度环绕、正向性、空集、平行方向、零误差、窄区域、圆边界、解析多边形、最小覆盖圆穷举和直径圆反例。问题一与问题二共 21 项单元测试通过；420 组问题二实验均通过独立半平面裁剪参考解校验，最大定位误差离散差约 0.0243 m。</w:t>
      </w:r>
    </w:p>
    <w:p>
      <w:pPr>
        <w:pStyle w:val="Heading2"/>
        <w:ind w:firstLine="0"/>
      </w:pPr>
      <w:r>
        <w:t>9.2 状态机与通信检验</w:t>
      </w:r>
    </w:p>
    <w:p>
      <w:r>
        <w:rPr>
          <w:rFonts w:ascii="宋体" w:hAnsi="宋体" w:eastAsia="宋体" w:cs="宋体"/>
          <w:sz w:val="21"/>
        </w:rPr>
        <w:t xml:space="preserve">客户端对 HTTP status code 与 JSON </w:t>
      </w:r>
      <w:r>
        <w:rPr>
          <w:rFonts w:ascii="Consolas" w:hAnsi="Consolas" w:eastAsia="Consolas" w:cs="Consolas"/>
          <w:sz w:val="21"/>
        </w:rPr>
        <w:t>accepted</w:t>
      </w:r>
      <w:r>
        <w:rPr>
          <w:rFonts w:ascii="宋体" w:hAnsi="宋体" w:eastAsia="宋体" w:cs="宋体"/>
          <w:sz w:val="21"/>
        </w:rPr>
        <w:t xml:space="preserve"> 同时判断，显式处理 ConnectionError、Timeout、HTTP 400/409/415/429 及 accepted=false。网络异常重试同一动作时复用 request_id 和请求体，避免模拟器把重试识别为新动作。日志记录 request_id、HTTP 状态、accepted、virtual_time_s、measure_result 或 clear_result 及完整响应 JSON。问题三、四的有效实机日志中 accepted=false 和重复 request_id 均为 0。</w:t>
      </w:r>
    </w:p>
    <w:p>
      <w:pPr>
        <w:pStyle w:val="Heading2"/>
        <w:ind w:firstLine="0"/>
      </w:pPr>
      <w:r>
        <w:t>9.3 稳定性口径</w:t>
      </w:r>
    </w:p>
    <w:p>
      <w:r>
        <w:rPr>
          <w:rFonts w:ascii="宋体" w:hAnsi="宋体" w:eastAsia="宋体" w:cs="宋体"/>
          <w:sz w:val="21"/>
        </w:rPr>
        <w:t>随机源数量和定向难度不同，单纯比较整局总时间会产生错误结论。问题三报告固定覆盖成本和扫描后每源时间；问题四除每源指标外，还按补测与归航是否触发分层，并报告 P90、P95、最大值。正式测试前采用以下验收条件：全清率 100%；</w:t>
      </w:r>
      <w:r>
        <w:rPr>
          <w:rFonts w:ascii="Consolas" w:hAnsi="Consolas" w:eastAsia="Consolas" w:cs="Consolas"/>
          <w:sz w:val="21"/>
        </w:rPr>
        <w:t>unresolved_list=[]</w:t>
      </w:r>
      <w:r>
        <w:rPr>
          <w:rFonts w:ascii="宋体" w:hAnsi="宋体" w:eastAsia="宋体" w:cs="宋体"/>
          <w:sz w:val="21"/>
        </w:rPr>
        <w:t xml:space="preserve">；HTTP 拒绝数 0；问题四 </w:t>
      </w:r>
      <w:r>
        <w:rPr>
          <w:rFonts w:ascii="Consolas" w:hAnsi="Consolas" w:eastAsia="Consolas" w:cs="Consolas"/>
          <w:sz w:val="21"/>
        </w:rPr>
        <w:t>certificate_index_ok=true</w:t>
      </w:r>
      <w:r>
        <w:rPr>
          <w:rFonts w:ascii="宋体" w:hAnsi="宋体" w:eastAsia="宋体" w:cs="宋体"/>
          <w:sz w:val="21"/>
        </w:rPr>
        <w:t>；固定种子重复结果逐例一致；长尾局能够由 phase_stats 和 episode 诊断解释。</w:t>
      </w:r>
    </w:p>
    <w:p>
      <w:pPr>
        <w:pStyle w:val="Heading2"/>
        <w:ind w:firstLine="0"/>
      </w:pPr>
      <w:r>
        <w:t>9.4 正式测试结果表</w:t>
      </w:r>
    </w:p>
    <w:p>
      <w:r>
        <w:rPr>
          <w:rFonts w:ascii="宋体" w:hAnsi="宋体" w:eastAsia="宋体" w:cs="宋体"/>
          <w:sz w:val="21"/>
        </w:rPr>
        <w:t>下表必须在正式测试后从原始 JSONL 自动生成，当前不填造案例编号或成绩。</w:t>
      </w:r>
    </w:p>
    <w:tbl>
      <w:tblPr>
        <w:tblStyle w:val="TableGrid"/>
        <w:tblW w:type="auto" w:w="0"/>
        <w:jc w:val="center"/>
        <w:tblLayout w:type="autofit"/>
        <w:tblLook w:firstColumn="1" w:firstRow="1" w:lastColumn="0" w:lastRow="0" w:noHBand="0" w:noVBand="1" w:val="04A0"/>
      </w:tblPr>
      <w:tblGrid>
        <w:gridCol w:w="1033"/>
        <w:gridCol w:w="1033"/>
        <w:gridCol w:w="1033"/>
        <w:gridCol w:w="1033"/>
        <w:gridCol w:w="1033"/>
        <w:gridCol w:w="1033"/>
        <w:gridCol w:w="1033"/>
        <w:gridCol w:w="1033"/>
        <w:gridCol w:w="1033"/>
      </w:tblGrid>
      <w:tr>
        <w:trPr>
          <w:tblHeader w:val="true"/>
        </w:trPr>
        <w:tc>
          <w:tcPr>
            <w:tcW w:type="dxa" w:w="1033"/>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问题</w:t>
            </w:r>
          </w:p>
        </w:tc>
        <w:tc>
          <w:tcPr>
            <w:tcW w:type="dxa" w:w="1033"/>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正式案例编号</w:t>
            </w:r>
          </w:p>
        </w:tc>
        <w:tc>
          <w:tcPr>
            <w:tcW w:type="dxa" w:w="1033"/>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源数</w:t>
            </w:r>
          </w:p>
        </w:tc>
        <w:tc>
          <w:tcPr>
            <w:tcW w:type="dxa" w:w="1033"/>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清除数</w:t>
            </w:r>
          </w:p>
        </w:tc>
        <w:tc>
          <w:tcPr>
            <w:tcW w:type="dxa" w:w="1033"/>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清除比例</w:t>
            </w:r>
          </w:p>
        </w:tc>
        <w:tc>
          <w:tcPr>
            <w:tcW w:type="dxa" w:w="1033"/>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总虚拟时间/s</w:t>
            </w:r>
          </w:p>
        </w:tc>
        <w:tc>
          <w:tcPr>
            <w:tcW w:type="dxa" w:w="1033"/>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平均定位清除时间/s</w:t>
            </w:r>
          </w:p>
        </w:tc>
        <w:tc>
          <w:tcPr>
            <w:tcW w:type="dxa" w:w="1033"/>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unresolved</w:t>
            </w:r>
          </w:p>
        </w:tc>
        <w:tc>
          <w:tcPr>
            <w:tcW w:type="dxa" w:w="1033"/>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证书正确</w:t>
            </w:r>
          </w:p>
        </w:tc>
      </w:tr>
      <w:tr>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3</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不适用</w:t>
            </w:r>
          </w:p>
        </w:tc>
      </w:tr>
      <w:tr>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3</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不适用</w:t>
            </w:r>
          </w:p>
        </w:tc>
      </w:tr>
      <w:tr>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3</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不适用</w:t>
            </w:r>
          </w:p>
        </w:tc>
      </w:tr>
      <w:tr>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4</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r>
      <w:tr>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4</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待填</w:t>
            </w:r>
          </w:p>
        </w:tc>
      </w:tr>
      <w:tr>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4</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c>
          <w:tcPr>
            <w:tcW w:type="dxa" w:w="1033"/>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待填</w:t>
            </w:r>
          </w:p>
        </w:tc>
      </w:tr>
    </w:tbl>
    <w:p>
      <w:pPr>
        <w:spacing w:after="0"/>
        <w:ind w:firstLine="0"/>
      </w:pPr>
    </w:p>
    <w:p>
      <w:pPr>
        <w:pStyle w:val="Heading1"/>
        <w:ind w:firstLine="0"/>
      </w:pPr>
      <w:r>
        <w:t>10 模型评价</w:t>
      </w:r>
    </w:p>
    <w:p>
      <w:pPr>
        <w:pStyle w:val="Heading2"/>
        <w:ind w:firstLine="0"/>
      </w:pPr>
      <w:r>
        <w:t>10.1 优点</w:t>
      </w:r>
    </w:p>
    <w:p>
      <w:pPr>
        <w:spacing w:line="300" w:lineRule="auto" w:after="40"/>
        <w:ind w:firstLine="0" w:left="0"/>
      </w:pPr>
      <w:r>
        <w:rPr>
          <w:rFonts w:ascii="宋体" w:hAnsi="宋体" w:eastAsia="宋体" w:cs="宋体"/>
          <w:sz w:val="21"/>
        </w:rPr>
        <w:t>1. 四问共用 Ω 这一数学对象，定位、选点、覆盖与清除之间接口清楚，避免各问模型口径不一致。</w:t>
      </w:r>
    </w:p>
    <w:p>
      <w:pPr>
        <w:spacing w:line="300" w:lineRule="auto" w:after="40"/>
        <w:ind w:firstLine="0" w:left="0"/>
      </w:pPr>
      <w:r>
        <w:rPr>
          <w:rFonts w:ascii="宋体" w:hAnsi="宋体" w:eastAsia="宋体" w:cs="宋体"/>
          <w:sz w:val="21"/>
        </w:rPr>
        <w:t>2. 有界误差被表示为可证明包含真值的区域，内外包络同时给出数值精度，不把离散点集或随机置信区间误写为确定性区域。</w:t>
      </w:r>
    </w:p>
    <w:p>
      <w:pPr>
        <w:spacing w:line="300" w:lineRule="auto" w:after="40"/>
        <w:ind w:firstLine="0" w:left="0"/>
      </w:pPr>
      <w:r>
        <w:rPr>
          <w:rFonts w:ascii="宋体" w:hAnsi="宋体" w:eastAsia="宋体" w:cs="宋体"/>
          <w:sz w:val="21"/>
        </w:rPr>
        <w:t>3. 问题三、四的主路径全部由可解释几何、确定性覆盖和串行状态机组成，参数少、结果可复现、实机日志可审计。</w:t>
      </w:r>
    </w:p>
    <w:p>
      <w:pPr>
        <w:spacing w:line="300" w:lineRule="auto" w:after="40"/>
        <w:ind w:firstLine="0" w:left="0"/>
      </w:pPr>
      <w:r>
        <w:rPr>
          <w:rFonts w:ascii="宋体" w:hAnsi="宋体" w:eastAsia="宋体" w:cs="宋体"/>
          <w:sz w:val="21"/>
        </w:rPr>
        <w:t>4. 采用同场景配对消融和硬约束优先的冻结规则，能够拒绝“均值偶然变好但尾部或工程风险恶化”的复杂模块。</w:t>
      </w:r>
    </w:p>
    <w:p>
      <w:pPr>
        <w:pStyle w:val="Heading2"/>
        <w:ind w:firstLine="0"/>
      </w:pPr>
      <w:r>
        <w:t>10.2 局限</w:t>
      </w:r>
    </w:p>
    <w:p>
      <w:pPr>
        <w:spacing w:line="300" w:lineRule="auto" w:after="40"/>
        <w:ind w:firstLine="0" w:left="0"/>
      </w:pPr>
      <w:r>
        <w:rPr>
          <w:rFonts w:ascii="宋体" w:hAnsi="宋体" w:eastAsia="宋体" w:cs="宋体"/>
          <w:sz w:val="21"/>
        </w:rPr>
        <w:t>1. 问题二的候选集为离散圆周点，在线代表中心偏差较大时，布局效果可能弱于受控实验。</w:t>
      </w:r>
    </w:p>
    <w:p>
      <w:pPr>
        <w:spacing w:line="300" w:lineRule="auto" w:after="40"/>
        <w:ind w:firstLine="0" w:left="0"/>
      </w:pPr>
      <w:r>
        <w:rPr>
          <w:rFonts w:ascii="宋体" w:hAnsi="宋体" w:eastAsia="宋体" w:cs="宋体"/>
          <w:sz w:val="21"/>
        </w:rPr>
        <w:t>2. 自适应网格提供数值内外包络而非形式化有向舍入证明，退化到零面积集合时需要提高精度或单独判断。</w:t>
      </w:r>
    </w:p>
    <w:p>
      <w:pPr>
        <w:spacing w:line="300" w:lineRule="auto" w:after="40"/>
        <w:ind w:firstLine="0" w:left="0"/>
      </w:pPr>
      <w:r>
        <w:rPr>
          <w:rFonts w:ascii="宋体" w:hAnsi="宋体" w:eastAsia="宋体" w:cs="宋体"/>
          <w:sz w:val="21"/>
        </w:rPr>
        <w:t>3. 问题四的个别长尾来自定向源补测信息价值不可预知；仅用补测距离设置阈值不能区分“远但有效”和“远且无效”。</w:t>
      </w:r>
    </w:p>
    <w:p>
      <w:pPr>
        <w:spacing w:line="300" w:lineRule="auto" w:after="40"/>
        <w:ind w:firstLine="0" w:left="0"/>
      </w:pPr>
      <w:r>
        <w:rPr>
          <w:rFonts w:ascii="宋体" w:hAnsi="宋体" w:eastAsia="宋体" w:cs="宋体"/>
          <w:sz w:val="21"/>
        </w:rPr>
        <w:t>4. 实机测试局数仍有限，正式评价应继续报告三次官方测试原始结果，不能只引用离线均值。</w:t>
      </w:r>
    </w:p>
    <w:p>
      <w:pPr>
        <w:pStyle w:val="Heading1"/>
        <w:ind w:firstLine="0"/>
      </w:pPr>
      <w:r>
        <w:t>11 结论</w:t>
      </w:r>
    </w:p>
    <w:p>
      <w:r>
        <w:rPr>
          <w:rFonts w:ascii="宋体" w:hAnsi="宋体" w:eastAsia="宋体" w:cs="宋体"/>
          <w:sz w:val="21"/>
        </w:rPr>
        <w:t>本文以有界测向误差可行区域 Ω 为核心完成四问统一建模。问题一给出真值包含的区域定位与可控离散误差；问题二用 Ω 收缩直接评价观测点布局，实验证明面积贪心布局在主要指标上优于随机、均匀和 DOP 诊断基线；问题三以 7 点确定性覆盖、受限顺路清除和开放路径调度实现全向源稳定全清；问题四以 31 点三角网格和逐频道排除证书解决方向盲区的无信号歧义。大量配对消融表明，复杂算法并未自动带来更好结果，最终冻结方案在全清、证书正确和实机稳定性之间取得了可靠平衡。</w:t>
      </w:r>
    </w:p>
    <w:p>
      <w:r>
        <w:rPr>
          <w:rFonts w:ascii="宋体" w:hAnsi="宋体" w:eastAsia="宋体" w:cs="宋体"/>
          <w:sz w:val="21"/>
        </w:rPr>
        <w:t>正式测试时，问题三应重点报告扫描后每源时间，问题四应同时报告补测/归航分层和尾部指标。若三次正式测试仍满足全清、无未解决频道、无 HTTP 拒绝、证书索引正确，则可认为本文不仅完成数学建模，也具备继续参赛所需的工程稳定性。</w:t>
      </w:r>
    </w:p>
    <w:p>
      <w:pPr>
        <w:pStyle w:val="Heading1"/>
        <w:ind w:firstLine="0"/>
      </w:pPr>
      <w:r>
        <w:t>参考文献</w:t>
      </w:r>
    </w:p>
    <w:p>
      <w:r>
        <w:rPr>
          <w:rFonts w:ascii="宋体" w:hAnsi="宋体" w:eastAsia="宋体" w:cs="宋体"/>
          <w:sz w:val="21"/>
        </w:rPr>
        <w:t>[1] 2026 年全国大学生数学建模竞赛 B 题：机器人自动定位并清除干扰源，赛题及附件。</w:t>
      </w:r>
    </w:p>
    <w:p>
      <w:r>
        <w:rPr>
          <w:rFonts w:ascii="宋体" w:hAnsi="宋体" w:eastAsia="宋体" w:cs="宋体"/>
          <w:sz w:val="21"/>
        </w:rPr>
        <w:t>[2] 项目实验记录：问题一、问题二验证报告，问题三、问题四 JSONL 实机日志与配对消融结果，2026。</w:t>
      </w:r>
    </w:p>
    <w:p>
      <w:pPr>
        <w:pStyle w:val="Heading1"/>
        <w:ind w:firstLine="0"/>
      </w:pPr>
      <w:r>
        <w:t>附录 A 冻结参数</w:t>
      </w:r>
    </w:p>
    <w:tbl>
      <w:tblPr>
        <w:tblStyle w:val="TableGrid"/>
        <w:tblW w:type="auto" w:w="0"/>
        <w:jc w:val="center"/>
        <w:tblLayout w:type="autofit"/>
        <w:tblLook w:firstColumn="1" w:firstRow="1" w:lastColumn="0" w:lastRow="0" w:noHBand="0" w:noVBand="1" w:val="04A0"/>
      </w:tblPr>
      <w:tblGrid>
        <w:gridCol w:w="3099"/>
        <w:gridCol w:w="3099"/>
        <w:gridCol w:w="3099"/>
      </w:tblGrid>
      <w:tr>
        <w:trPr>
          <w:tblHeader w:val="true"/>
        </w:trPr>
        <w:tc>
          <w:tcPr>
            <w:tcW w:type="dxa" w:w="3099"/>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模块</w:t>
            </w:r>
          </w:p>
        </w:tc>
        <w:tc>
          <w:tcPr>
            <w:tcW w:type="dxa" w:w="3099"/>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参数</w:t>
            </w:r>
          </w:p>
        </w:tc>
        <w:tc>
          <w:tcPr>
            <w:tcW w:type="dxa" w:w="3099"/>
            <w:vAlign w:val="center"/>
            <w:tcMar>
              <w:top w:w="80" w:type="dxa"/>
              <w:start w:w="100" w:type="dxa"/>
              <w:bottom w:w="80" w:type="dxa"/>
              <w:end w:w="100" w:type="dxa"/>
            </w:tcMar>
            <w:shd w:fill="D9EAF7"/>
          </w:tcPr>
          <w:p>
            <w:pPr>
              <w:spacing w:line="252" w:lineRule="auto" w:after="0"/>
              <w:ind w:firstLine="0"/>
              <w:jc w:val="center"/>
            </w:pPr>
            <w:r>
              <w:rPr>
                <w:rFonts w:ascii="宋体" w:hAnsi="宋体" w:eastAsia="宋体" w:cs="宋体"/>
                <w:b/>
                <w:color w:val="000000"/>
                <w:sz w:val="17"/>
              </w:rPr>
              <w:t>冻结值</w:t>
            </w:r>
          </w:p>
        </w:tc>
      </w:tr>
      <w:tr>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问题一</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场地半径</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1800 m</w:t>
            </w:r>
          </w:p>
        </w:tc>
      </w:tr>
      <w:tr>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问题一</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示向误差界</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1°</w:t>
            </w:r>
          </w:p>
        </w:tc>
      </w:tr>
      <w:tr>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问题一</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初始网格</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200×200</w:t>
            </w:r>
          </w:p>
        </w:tc>
      </w:tr>
      <w:tr>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问题二</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候选半径/角间隔</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1000 m / 15°</w:t>
            </w:r>
          </w:p>
        </w:tc>
      </w:tr>
      <w:tr>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问题三</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覆盖点</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原点+R=1200 m 正六边形</w:t>
            </w:r>
          </w:p>
        </w:tc>
      </w:tr>
      <w:tr>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问题三、四</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顺路阈值</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300 m</w:t>
            </w:r>
          </w:p>
        </w:tc>
      </w:tr>
      <w:tr>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问题三</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LS_CLEAR_GATE</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None</w:t>
            </w:r>
          </w:p>
        </w:tc>
      </w:tr>
      <w:tr>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问题四</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三角网格</w:t>
            </w:r>
          </w:p>
        </w:tc>
        <w:tc>
          <w:tcPr>
            <w:tcW w:type="dxa" w:w="3099"/>
            <w:vAlign w:val="center"/>
            <w:tcMar>
              <w:top w:w="80" w:type="dxa"/>
              <w:start w:w="100" w:type="dxa"/>
              <w:bottom w:w="80" w:type="dxa"/>
              <w:end w:w="100" w:type="dxa"/>
            </w:tcMar>
            <w:shd w:fill="F7FAFC"/>
          </w:tcPr>
          <w:p>
            <w:pPr>
              <w:spacing w:line="252" w:lineRule="auto" w:after="0"/>
              <w:ind w:firstLine="0"/>
              <w:jc w:val="left"/>
            </w:pPr>
            <w:r>
              <w:rPr>
                <w:rFonts w:ascii="宋体" w:hAnsi="宋体" w:eastAsia="宋体" w:cs="宋体"/>
                <w:sz w:val="17"/>
              </w:rPr>
              <w:t>边长 900 m，裕度 800 m，31点/42三角形</w:t>
            </w:r>
          </w:p>
        </w:tc>
      </w:tr>
      <w:tr>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问题四</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邻域试探圈</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8 m、15 m，各6点</w:t>
            </w:r>
          </w:p>
        </w:tc>
      </w:tr>
      <w:tr>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问题四</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SUPP_MAX_DIST</w:t>
            </w:r>
          </w:p>
        </w:tc>
        <w:tc>
          <w:tcPr>
            <w:tcW w:type="dxa" w:w="3099"/>
            <w:vAlign w:val="center"/>
            <w:tcMar>
              <w:top w:w="80" w:type="dxa"/>
              <w:start w:w="100" w:type="dxa"/>
              <w:bottom w:w="80" w:type="dxa"/>
              <w:end w:w="100" w:type="dxa"/>
            </w:tcMar>
            <w:shd w:fill="F7FAFC"/>
          </w:tcPr>
          <w:p>
            <w:pPr>
              <w:spacing w:line="252" w:lineRule="auto" w:after="0"/>
              <w:ind w:firstLine="0"/>
              <w:jc w:val="center"/>
            </w:pPr>
            <w:r>
              <w:rPr>
                <w:rFonts w:ascii="宋体" w:hAnsi="宋体" w:eastAsia="宋体" w:cs="宋体"/>
                <w:sz w:val="17"/>
              </w:rPr>
              <w:t>None</w:t>
            </w:r>
          </w:p>
        </w:tc>
      </w:tr>
      <w:tr>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复杂模块</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概率/DOP/PSO/负信息/复核</w:t>
            </w:r>
          </w:p>
        </w:tc>
        <w:tc>
          <w:tcPr>
            <w:tcW w:type="dxa" w:w="3099"/>
            <w:vAlign w:val="center"/>
            <w:tcMar>
              <w:top w:w="80" w:type="dxa"/>
              <w:start w:w="100" w:type="dxa"/>
              <w:bottom w:w="80" w:type="dxa"/>
              <w:end w:w="100" w:type="dxa"/>
            </w:tcMar>
          </w:tcPr>
          <w:p>
            <w:pPr>
              <w:spacing w:line="252" w:lineRule="auto" w:after="0"/>
              <w:ind w:firstLine="0"/>
              <w:jc w:val="center"/>
            </w:pPr>
            <w:r>
              <w:rPr>
                <w:rFonts w:ascii="宋体" w:hAnsi="宋体" w:eastAsia="宋体" w:cs="宋体"/>
                <w:sz w:val="17"/>
              </w:rPr>
              <w:t>全部关闭</w:t>
            </w:r>
          </w:p>
        </w:tc>
      </w:tr>
    </w:tbl>
    <w:p>
      <w:pPr>
        <w:spacing w:after="0"/>
        <w:ind w:firstLine="0"/>
      </w:pPr>
    </w:p>
    <w:p>
      <w:pPr>
        <w:pStyle w:val="Heading1"/>
        <w:ind w:firstLine="0"/>
      </w:pPr>
      <w:r>
        <w:t>附录 B 正式运行与复现</w:t>
      </w:r>
    </w:p>
    <w:p>
      <w:pPr>
        <w:spacing w:before="60" w:after="120"/>
        <w:ind w:firstLine="0" w:left="240"/>
      </w:pPr>
      <w:r>
        <w:rPr>
          <w:rFonts w:ascii="Consolas" w:hAnsi="Consolas" w:eastAsia="Consolas" w:cs="Consolas"/>
          <w:sz w:val="17"/>
        </w:rPr>
        <w:t>python Problem1_Localization/main.py</w:t>
      </w:r>
      <w:r>
        <w:br/>
      </w:r>
      <w:r>
        <w:rPr>
          <w:rFonts w:ascii="Consolas" w:hAnsi="Consolas" w:eastAsia="Consolas" w:cs="Consolas"/>
          <w:sz w:val="17"/>
        </w:rPr>
        <w:t>python Problem1_Localization/validate.py</w:t>
      </w:r>
      <w:r>
        <w:br/>
      </w:r>
      <w:r>
        <w:rPr>
          <w:rFonts w:ascii="Consolas" w:hAnsi="Consolas" w:eastAsia="Consolas" w:cs="Consolas"/>
          <w:sz w:val="17"/>
        </w:rPr>
        <w:t>python Problem2_Observation_Optimization/main.py</w:t>
      </w:r>
      <w:r>
        <w:br/>
      </w:r>
      <w:r>
        <w:rPr>
          <w:rFonts w:ascii="Consolas" w:hAnsi="Consolas" w:eastAsia="Consolas" w:cs="Consolas"/>
          <w:sz w:val="17"/>
        </w:rPr>
        <w:t>python Problem2_Observation_Optimization/validate.py</w:t>
      </w:r>
      <w:r>
        <w:br/>
      </w:r>
      <w:r>
        <w:rPr>
          <w:rFonts w:ascii="Consolas" w:hAnsi="Consolas" w:eastAsia="Consolas" w:cs="Consolas"/>
          <w:sz w:val="17"/>
        </w:rPr>
        <w:t>python problem3_robot/selfcheck.py --cases 1000 --diag</w:t>
      </w:r>
      <w:r>
        <w:br/>
      </w:r>
      <w:r>
        <w:rPr>
          <w:rFonts w:ascii="Consolas" w:hAnsi="Consolas" w:eastAsia="Consolas" w:cs="Consolas"/>
          <w:sz w:val="17"/>
        </w:rPr>
        <w:t>python problem4_robot/selfcheck4.py --cert 60</w:t>
      </w:r>
      <w:r>
        <w:br/>
      </w:r>
      <w:r>
        <w:rPr>
          <w:rFonts w:ascii="Consolas" w:hAnsi="Consolas" w:eastAsia="Consolas" w:cs="Consolas"/>
          <w:sz w:val="17"/>
        </w:rPr>
        <w:t>python problem4_robot/selfcheck4.py 30 --diag</w:t>
      </w:r>
      <w:r>
        <w:br/>
      </w:r>
      <w:r>
        <w:rPr>
          <w:rFonts w:ascii="Consolas" w:hAnsi="Consolas" w:eastAsia="Consolas" w:cs="Consolas"/>
          <w:sz w:val="17"/>
        </w:rPr>
        <w:t>python problem3_robot/robot.py --robot-id 202604004013</w:t>
      </w:r>
      <w:r>
        <w:br/>
      </w:r>
      <w:r>
        <w:rPr>
          <w:rFonts w:ascii="Consolas" w:hAnsi="Consolas" w:eastAsia="Consolas" w:cs="Consolas"/>
          <w:sz w:val="17"/>
        </w:rPr>
        <w:t>python problem4_robot/robot4.py --robot-id 202604004013</w:t>
      </w:r>
    </w:p>
    <w:p>
      <w:r>
        <w:rPr>
          <w:rFonts w:ascii="宋体" w:hAnsi="宋体" w:eastAsia="宋体" w:cs="宋体"/>
          <w:sz w:val="21"/>
        </w:rPr>
        <w:t xml:space="preserve">正式接口运行时不得并发请求；若连接被拒绝，应先在模拟器中开始相应问题的演练测试并等待 5 s 倒计时结束。程序读取 </w:t>
      </w:r>
      <w:r>
        <w:rPr>
          <w:rFonts w:ascii="Consolas" w:hAnsi="Consolas" w:eastAsia="Consolas" w:cs="Consolas"/>
          <w:sz w:val="21"/>
        </w:rPr>
        <w:t>/enter</w:t>
      </w:r>
      <w:r>
        <w:rPr>
          <w:rFonts w:ascii="宋体" w:hAnsi="宋体" w:eastAsia="宋体" w:cs="宋体"/>
          <w:sz w:val="21"/>
        </w:rPr>
        <w:t xml:space="preserve"> 返回的 </w:t>
      </w:r>
      <w:r>
        <w:rPr>
          <w:rFonts w:ascii="Consolas" w:hAnsi="Consolas" w:eastAsia="Consolas" w:cs="Consolas"/>
          <w:sz w:val="21"/>
        </w:rPr>
        <w:t>remaining_real_duration_s</w:t>
      </w:r>
      <w:r>
        <w:rPr>
          <w:rFonts w:ascii="宋体" w:hAnsi="宋体" w:eastAsia="宋体" w:cs="宋体"/>
          <w:sz w:val="21"/>
        </w:rPr>
        <w:t>，不预设固定 1200 s。</w:t>
      </w:r>
    </w:p>
    <w:sectPr w:rsidR="00FC693F" w:rsidRPr="0006063C" w:rsidSect="00034616">
      <w:footerReference w:type="default" r:id="rId9"/>
      <w:pgSz w:w="11906" w:h="16838"/>
      <w:pgMar w:top="1247"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40"/>
      <w:ind w:firstLine="4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楷体" w:hAnsi="楷体" w:eastAsia="楷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20" w:line="240" w:lineRule="auto"/>
      <w:contextualSpacing/>
    </w:pPr>
    <w:rPr>
      <w:rFonts w:asciiTheme="majorHAnsi" w:eastAsiaTheme="majorEastAsia" w:hAnsiTheme="majorHAnsi" w:cstheme="majorBidi" w:ascii="黑体" w:hAnsi="黑体"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有界测向误差下干扰源的确定性区域定位与机器人覆盖清除</dc:title>
  <dc:subject>2026年全国大学生数学建模竞赛B题论文草稿</dc:subject>
  <dc:creator>参赛队 202604004013</dc:creator>
  <cp:keywords>有界测向误差; 可行区域; 观测几何; 确定性覆盖; 路径调度</cp:keywords>
  <dc:description>generated by python-docx</dc:description>
  <cp:lastModifiedBy/>
  <cp:revision>1</cp:revision>
  <dcterms:created xsi:type="dcterms:W3CDTF">2013-12-23T23:15:00Z</dcterms:created>
  <dcterms:modified xsi:type="dcterms:W3CDTF">2013-12-23T23:15:00Z</dcterms:modified>
  <cp:category/>
</cp:coreProperties>
</file>