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）。另把补测点规则由"固定垂直偏移"改为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>（候选点极小极大"最坏楔形交直径"+ 路程权重）：标准混合上</w:t>
      </w:r>
      <w:r>
        <w:rPr>
          <w:rFonts w:ascii="Times New Roman" w:hAnsi="Times New Roman" w:eastAsia="宋体"/>
          <w:b/>
          <w:sz w:val="24"/>
        </w:rPr>
        <w:t>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 xml:space="preserve">）、候选环上 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困难几何上 $-5.65\%$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清除失败次数 $-18\%$</w:t>
      </w:r>
      <w:r>
        <w:rPr>
          <w:rFonts w:ascii="Times New Roman" w:hAnsi="Times New Roman" w:eastAsia="宋体"/>
          <w:sz w:val="24"/>
        </w:rPr>
        <w:t xml:space="preserve">（源贴边界类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 xml:space="preserve">）、归航时间 </w:t>
      </w:r>
      <w:r>
        <w:rPr>
          <w:rFonts w:ascii="Cambria Math" w:hAnsi="Cambria Math" w:eastAsia="宋体"/>
          <w:sz w:val="24"/>
        </w:rPr>
        <w:t>-91%</w:t>
      </w:r>
      <w:r>
        <w:rPr>
          <w:rFonts w:ascii="Times New Roman" w:hAnsi="Times New Roman" w:eastAsia="宋体"/>
          <w:sz w:val="24"/>
        </w:rPr>
        <w:t>；而</w:t>
      </w:r>
      <w:r>
        <w:rPr>
          <w:rFonts w:ascii="Times New Roman" w:hAnsi="Times New Roman" w:eastAsia="宋体"/>
          <w:b/>
          <w:sz w:val="24"/>
        </w:rPr>
        <w:t>"补测阶段分组路线"经配对实验否决</w:t>
      </w:r>
      <w:r>
        <w:rPr>
          <w:rFonts w:ascii="Times New Roman" w:hAnsi="Times New Roman" w:eastAsia="宋体"/>
          <w:sz w:val="24"/>
        </w:rPr>
        <w:t xml:space="preserve">（合并半径 300 m 无效果、600/1000 m 分别变慢 </w:t>
      </w:r>
      <w:r>
        <w:rPr>
          <w:rFonts w:ascii="Cambria Math" w:hAnsi="Cambria Math" w:eastAsia="宋体"/>
          <w:sz w:val="24"/>
        </w:rPr>
        <w:t>+0.73%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ambria Math" w:hAnsi="Cambria Math" w:eastAsia="宋体"/>
          <w:sz w:val="24"/>
        </w:rPr>
        <w:t>+2.94%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