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官方模拟器在环复核（最终配置，12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最终配置</w:t>
      </w:r>
      <w:r>
        <w:rPr>
          <w:rFonts w:ascii="Times New Roman" w:hAnsi="Times New Roman" w:eastAsia="宋体"/>
          <w:sz w:val="24"/>
        </w:rPr>
        <w:t>（27 点最小覆盖设计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可确定性判定该频道为空iff forall G∈ D: G∈convbigl(S'∩ B(G,R꜀)bigr).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非规则站集与访问顺序的联合优化（已验证候选，待正式测试后决定采纳）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 xml:space="preserve">。采纳前必须补齐（清单）：① 覆盖审计 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 xml:space="preserve">（新设计 +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>）；② 病理集 10 类 ×200 = 2 000 例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回归（路径索引/证书/schema/固定种子）；④ 官方模拟器在环 12 局（稳定性与实机一致性）；⑤ 部署改动：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换成新坐标、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、同步 </w:t>
      </w:r>
      <w:r>
        <w:rPr>
          <w:rFonts w:ascii="Consolas" w:hAnsi="Consolas" w:eastAsia="Consolas"/>
          <w:sz w:val="21"/>
        </w:rPr>
        <w:t>FROZEN4_MOD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若正式测试不理想，回退点仍为标签 `frozen-v1-final`。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