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点；此配置由初版"原点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点"经</w:t>
      </w:r>
      <w:r>
        <w:rPr>
          <w:rFonts w:ascii="Times New Roman" w:hAnsi="Times New Roman" w:eastAsia="宋体"/>
          <w:b/>
          <w:sz w:val="24"/>
        </w:rPr>
        <w:t>半径–点数配对扫描</w:t>
      </w:r>
      <w:r>
        <w:rPr>
          <w:rFonts w:ascii="Times New Roman" w:hAnsi="Times New Roman" w:eastAsia="宋体"/>
          <w:sz w:val="24"/>
        </w:rPr>
        <w:t>替换，见 §5.5）并给出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点接收"；采纳版另把"仅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例零漏清，66 局官方模拟器在环测试（初版配置）全部全清、零未解决。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</w:t>
      </w:r>
      <w:r>
        <w:rPr>
          <w:rFonts w:ascii="Times New Roman" w:hAnsi="Times New Roman" w:eastAsia="宋体"/>
          <w:sz w:val="24"/>
        </w:rPr>
        <w:t>已按 §5.5 更新为采纳配置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的 9 点，共 10 点（§5.1 初版为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点；该配置已在 §5.5 中被配对实验替换，结论与证明结构完全同构）。设源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采纳版把"最坏情形"显著推远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认证判据正确率（关键指标，采纳前配置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100 %（采纳配置下的对应诊断见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定位调用结构（采纳前配置）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覆盖环（已按 §5.5 重设计并采纳）</w:t>
      </w:r>
      <w:r>
        <w:rPr>
          <w:rFonts w:ascii="Times New Roman" w:hAnsi="Times New Roman" w:eastAsia="宋体"/>
          <w:sz w:val="24"/>
        </w:rPr>
        <w:t xml:space="preserve">：初版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m，余量约 180 m，总时间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点环在全部覆盖设计中点数最小"，只能说"在本文考察的半径–点数网格上，它是帕累托占优的"。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覆盖环的"半径–点数"稳健性再设计（**已采纳**：1150 m × 9 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门禁核验（采纳依据，配置已写入代码与冻结字典）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 xml:space="preserve">——该几何下覆盖环几乎用不到，而多出的 3 个站点仍要付出扫描开销。由于该类别在题设（源随机分布于 </w:t>
      </w:r>
      <w:r>
        <w:rPr>
          <w:rFonts w:ascii="Cambria Math" w:hAnsi="Cambria Math" w:eastAsia="宋体"/>
          <w:sz w:val="24"/>
        </w:rPr>
        <w:t>R≤1800</w:t>
      </w:r>
      <w:r>
        <w:rPr>
          <w:rFonts w:ascii="Times New Roman" w:hAnsi="Times New Roman" w:eastAsia="宋体"/>
          <w:sz w:val="24"/>
        </w:rPr>
        <w:t xml:space="preserve"> m 圆盘）中出现概率低，且总时间与病理集合计均显著改善，故仍予采纳。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早于本次采纳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本次采纳后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22b6dcba0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点）。故"少于 27 点"在同等强度下最多到约 </w:t>
      </w:r>
      <w:r>
        <w:rPr>
          <w:rFonts w:ascii="Times New Roman" w:hAnsi="Times New Roman" w:eastAsia="宋体"/>
          <w:b/>
          <w:sz w:val="24"/>
        </w:rPr>
        <w:t>20–24 点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 xml:space="preserve">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即几何已无余量：站数下降带来的收益被巡回增长抵消。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d64d2b50c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4b837a597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同时改善余量与时间</w:t>
      </w:r>
      <w:r>
        <w:rPr>
          <w:rFonts w:ascii="Times New Roman" w:hAnsi="Times New Roman" w:eastAsia="宋体"/>
          <w:sz w:val="24"/>
        </w:rPr>
        <w:t>的方向（采纳），而问题四在同一类分析中只得到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采纳配置(10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采纳配置病理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