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4B9D7">
      <w:pPr>
        <w:pStyle w:val="31"/>
        <w:widowControl/>
        <w:spacing w:before="1800" w:after="360" w:line="240" w:lineRule="auto"/>
        <w:jc w:val="center"/>
      </w:pPr>
      <w:r>
        <w:rPr>
          <w:rFonts w:ascii="Noto Sans CJK SC" w:hAnsi="Noto Sans CJK SC" w:eastAsia="Noto Sans CJK SC"/>
          <w:b/>
          <w:color w:val="000000"/>
          <w:sz w:val="46"/>
        </w:rPr>
        <w:t>车牌识别系统六人分工与技术路线</w:t>
      </w:r>
    </w:p>
    <w:p w14:paraId="24FC21A7">
      <w:pPr>
        <w:widowControl/>
        <w:spacing w:before="0" w:after="200" w:line="240" w:lineRule="auto"/>
        <w:jc w:val="center"/>
      </w:pPr>
      <w:r>
        <w:rPr>
          <w:rFonts w:ascii="Noto Sans CJK SC" w:hAnsi="Noto Sans CJK SC" w:eastAsia="Noto Sans CJK SC"/>
          <w:b w:val="0"/>
          <w:color w:val="000000"/>
          <w:sz w:val="26"/>
        </w:rPr>
        <w:t>基于项目指导书与 YOLO PaddleOCR 的小组实施方案</w:t>
      </w:r>
    </w:p>
    <w:p w14:paraId="4D253191">
      <w:pPr>
        <w:widowControl/>
        <w:spacing w:before="1900" w:after="80" w:line="240" w:lineRule="auto"/>
        <w:jc w:val="center"/>
      </w:pPr>
      <w:r>
        <w:rPr>
          <w:rFonts w:ascii="Noto Sans CJK SC" w:hAnsi="Noto Sans CJK SC" w:eastAsia="Noto Sans CJK SC"/>
          <w:b w:val="0"/>
          <w:color w:val="000000"/>
          <w:sz w:val="24"/>
        </w:rPr>
        <w:t>YOLO-Paddle-ANPR 项目规划</w:t>
      </w:r>
    </w:p>
    <w:p w14:paraId="4D90351F">
      <w:pPr>
        <w:widowControl/>
        <w:spacing w:before="0" w:after="0" w:line="240" w:lineRule="auto"/>
        <w:jc w:val="center"/>
      </w:pPr>
      <w:r>
        <w:rPr>
          <w:rFonts w:ascii="Noto Sans CJK SC" w:hAnsi="Noto Sans CJK SC" w:eastAsia="Noto Sans CJK SC"/>
          <w:b w:val="0"/>
          <w:color w:val="000000"/>
          <w:sz w:val="21"/>
        </w:rPr>
        <w:t>小组人数 6 人    阶段成果 中期汇报与期末汇报</w:t>
      </w:r>
    </w:p>
    <w:p w14:paraId="440A12CD">
      <w:pPr>
        <w:pStyle w:val="3"/>
        <w:keepNext/>
        <w:pageBreakBefore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一 项目定位与指导书依据</w:t>
      </w:r>
    </w:p>
    <w:p w14:paraId="5564B063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本项目围绕车辆图像中的车牌定位与文字识别开展实践。依据《车牌识别系统创新项目实践指导书》的图像载入、预处理、车牌定位、车牌图像处理和字符识别内容，结合现有 YOLO-Paddle-ANPR 系统，形成数据准备、模型微调、服务集成与效果评估的完整技术路线。</w:t>
      </w:r>
    </w:p>
    <w:p w14:paraId="5D234F70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现有系统采用 YOLO 检测车牌，再将裁剪区域交给 PaddleOCR 的独立识别模块 TextRecognition，最后完成字符规整和结果展示。指导书中的灰度化、均衡化、滤波、边缘检测、二值化及模板匹配，可安排为基础原理学习和对照实验；新增实验结果与已有系统成果分别记录。</w:t>
      </w:r>
    </w:p>
    <w:p w14:paraId="527840C1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项目目标与分工原则</w:t>
      </w:r>
    </w:p>
    <w:p w14:paraId="419E8D92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实现图片上传、拖拽、粘贴、摄像头拍照及周期取帧识别，展示车牌文字、位置框、置信度和耗时。</w:t>
      </w:r>
    </w:p>
    <w:p w14:paraId="6EF860E4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六名成员分别负责后端集成、数据处理、检测模型、识别模型、Web 交互和测试部署；每人同步完成原理研究与实验记录。</w:t>
      </w:r>
    </w:p>
    <w:p w14:paraId="5DA9D977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成员1负责协调和接口统一，各成员承担本人模块的代码、说明、对比分析及中期和期末汇报材料。</w:t>
      </w:r>
    </w:p>
    <w:p w14:paraId="15E03073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研究复杂光照、模糊、旋转和倾斜等场景中的失败原因，通过统一测试数据比较改进效果。</w:t>
      </w:r>
    </w:p>
    <w:p w14:paraId="7430B2BE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最终成果包括系统代码、模型、训练配置、评测记录、部署说明、项目报告和答辩材料。</w:t>
      </w:r>
    </w:p>
    <w:p w14:paraId="1FD309E1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指导书内容与项目实现的关系</w:t>
      </w:r>
    </w:p>
    <w:tbl>
      <w:tblPr>
        <w:tblStyle w:val="32"/>
        <w:tblW w:w="9993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725"/>
      </w:tblGrid>
      <w:tr w14:paraId="0F5B20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29358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指导书内容</w:t>
            </w:r>
          </w:p>
        </w:tc>
        <w:tc>
          <w:tcPr>
            <w:tcW w:w="772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E7311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项目对应实现与研究安排</w:t>
            </w:r>
          </w:p>
        </w:tc>
      </w:tr>
      <w:tr w14:paraId="12FB07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E14F9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图像载入与界面设计</w:t>
            </w:r>
          </w:p>
        </w:tc>
        <w:tc>
          <w:tcPr>
            <w:tcW w:w="772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A1C23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Web 上传、图像展示和摄像头采集。</w:t>
            </w:r>
          </w:p>
        </w:tc>
      </w:tr>
      <w:tr w14:paraId="24B9E24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B81C3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图像预处理与边缘分析</w:t>
            </w:r>
          </w:p>
        </w:tc>
        <w:tc>
          <w:tcPr>
            <w:tcW w:w="772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5271C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学习灰度化、均衡化、滤波与 Sobel；拟开展预处理对照实验。</w:t>
            </w:r>
          </w:p>
        </w:tc>
      </w:tr>
      <w:tr w14:paraId="4BE906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A4C0C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车牌定位与车牌处理</w:t>
            </w:r>
          </w:p>
        </w:tc>
        <w:tc>
          <w:tcPr>
            <w:tcW w:w="772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3B670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主流程采用 YOLO 定位及带边距裁剪；透视矫正作为后续研究。</w:t>
            </w:r>
          </w:p>
        </w:tc>
      </w:tr>
      <w:tr w14:paraId="0582639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04D58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字符切割与归一化</w:t>
            </w:r>
          </w:p>
        </w:tc>
        <w:tc>
          <w:tcPr>
            <w:tcW w:w="772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87D65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理解传统逐字处理；主流程由识别模型对整块车牌进行序列识别。</w:t>
            </w:r>
          </w:p>
        </w:tc>
      </w:tr>
      <w:tr w14:paraId="1E2E924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60C3C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模板匹配字符识别</w:t>
            </w:r>
          </w:p>
        </w:tc>
        <w:tc>
          <w:tcPr>
            <w:tcW w:w="772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78147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作为传统方法学习与可选比较，现有识别采用微调后的 PaddleOCR。</w:t>
            </w:r>
          </w:p>
        </w:tc>
      </w:tr>
    </w:tbl>
    <w:p w14:paraId="26067579">
      <w:pPr>
        <w:spacing w:before="0" w:after="80" w:line="100" w:lineRule="exact"/>
      </w:pPr>
    </w:p>
    <w:p w14:paraId="39C9AEC4">
      <w:pPr>
        <w:pStyle w:val="3"/>
        <w:keepNext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二 车牌识别系统完整流程</w:t>
      </w:r>
    </w:p>
    <w:p w14:paraId="70CA5D43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1 图像输入与数据建设</w:t>
      </w:r>
    </w:p>
    <w:p w14:paraId="77EF8D3E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系统接收车辆原图或摄像头图像帧，检查图像能否解码，并保留原始尺寸。训练数据主要来自 CCPD2019，其边界框、四角坐标及车牌字符索引嵌入图像文件名，需解析后转成检测和识别两类标签。</w:t>
      </w:r>
    </w:p>
    <w:p w14:paraId="11F2B874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检测数据遵循已有 train、val、test 划分，生成归一化边界框标签、图片列表和数据配置。</w:t>
      </w:r>
    </w:p>
    <w:p w14:paraId="5EA79D15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识别数据由车牌裁剪图与整牌文本配对形成，覆盖8个子集，对困难样本适当加权并进行跨子集去重。</w:t>
      </w:r>
    </w:p>
    <w:p w14:paraId="733A9022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核验文件名索引解码、边界框坐标及样本划分，防止标签错误和训练验证集交叉。</w:t>
      </w:r>
    </w:p>
    <w:p w14:paraId="3DB5FD94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 YOLO 车牌定位</w:t>
      </w:r>
    </w:p>
    <w:p w14:paraId="131AD99D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使用 YOLO nano 预训练权重进行车牌检测微调，输出边界框与检测置信度。根据检测阈值保留候选车牌，重点分析复杂背景、较小车牌及倾斜模糊样本的漏检和误检。</w:t>
      </w:r>
    </w:p>
    <w:p w14:paraId="3F33F06F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记录损失、精确率、召回率、mAP50 和 mAP50-95，结合验证表现选择模型权重。</w:t>
      </w:r>
    </w:p>
    <w:p w14:paraId="0F3745D9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比较检测阈值及数据增强设置，并观察边界框对后续裁剪和识别的影响。</w:t>
      </w:r>
    </w:p>
    <w:p w14:paraId="7D1AAFB8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3 车牌裁剪与图像处理</w:t>
      </w:r>
    </w:p>
    <w:p w14:paraId="40BF001C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在检测框四周分别扩展相应宽高约5%的边距，并将裁剪范围限制在原图内，降低边缘字符被截断的风险。识别数据制作和在线推理保持相同的裁剪规则；较小裁剪图可在送入识别前放大。</w:t>
      </w:r>
    </w:p>
    <w:p w14:paraId="72375E73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保留原图、检测框和车牌裁剪图，便于定位识别失败的来源。</w:t>
      </w:r>
    </w:p>
    <w:p w14:paraId="270F2F08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拟比较原始裁剪图与灰度化、均衡化、去噪处理后的识别效果，依据实验结果决定是否接入。</w:t>
      </w:r>
    </w:p>
    <w:p w14:paraId="36729C15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四角透视矫正属于后续研究，现有主流程使用边界框裁剪。</w:t>
      </w:r>
    </w:p>
    <w:p w14:paraId="257E2EDD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4 PaddleOCR 整牌识别与微调</w:t>
      </w:r>
    </w:p>
    <w:p w14:paraId="6BC6A31E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采用 PP-OCRv6_small_rec 预训练模型，以车牌裁剪数据开展场景微调。现有项目配置约40000张训练裁剪图和4000张验证裁剪图，训练30轮，批大小64，初始学习率0.0005。保持上游模型架构和官方字典一致，保存每次训练的实际配置。</w:t>
      </w:r>
    </w:p>
    <w:p w14:paraId="4B17BB1F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YOLO 已完成定位，TextRecognition 直接识别车牌图像中的字符序列，减少重复文本检测。</w:t>
      </w:r>
    </w:p>
    <w:p w14:paraId="1FBCDE17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微调后导出 inference.json、inference.pdiparams 及对应配置，确认模型名称匹配。</w:t>
      </w:r>
    </w:p>
    <w:p w14:paraId="44359999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使用与服务一致的识别模块验证导出模型，评价整牌准确率、逐位字符准确率和困难子集表现。</w:t>
      </w:r>
    </w:p>
    <w:p w14:paraId="7357BB03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5 字符规整与结果返回</w:t>
      </w:r>
    </w:p>
    <w:p w14:paraId="7F238258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对识别结果进行字符统一、字母大写转换和允许字符集过滤，去除无关字符，再进行省份字符、第二位字母及基础长度检查。保留原始文本、规整文本、置信度和异常信息，供界面展示与误差分析。格式检查通过并不等于识别正确，准确率仍需与真实标签比较。</w:t>
      </w:r>
    </w:p>
    <w:p w14:paraId="26D064E1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6 双服务部署与 Web 展示</w:t>
      </w:r>
    </w:p>
    <w:p w14:paraId="18CE0ACC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主服务在 ML 环境运行 YOLO 和 FastAPI，使用8000端口；识别服务在 anpr-ocr 环境加载微调后的 Paddle 推理模型，使用8100端口。两者通过 HTTP 传递车牌裁剪图及识别结果，将 CUDA PyTorch 与 CUDA Paddle 分开运行，适配当前机器的兼容条件。</w:t>
      </w:r>
    </w:p>
    <w:p w14:paraId="3D066057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先启动识别服务并确认模型就绪，再启动主服务；每个进程加载一次模型，使用锁保护预测器。</w:t>
      </w:r>
    </w:p>
    <w:p w14:paraId="36F6D6F0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前端提供上传、拖拽、粘贴、拍照和周期取帧，显示标注图、裁剪图、车牌文字、历史记录和分阶段耗时。</w:t>
      </w:r>
    </w:p>
    <w:p w14:paraId="2A7FA9D5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识别服务不可用时明确反馈错误；测试加载失败、无车牌、无效输入及运行中服务中断等情况。</w:t>
      </w:r>
    </w:p>
    <w:p w14:paraId="4FCAD11E">
      <w:pPr>
        <w:pStyle w:val="3"/>
        <w:keepNext/>
        <w:pageBreakBefore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三 六人任务分工方案</w:t>
      </w:r>
    </w:p>
    <w:p w14:paraId="3ED0A1DD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以下为拟定职责，成员编号可替换为实际姓名。每位成员围绕模块实现、方法原理、文献检索、对比实验和成果交接开展工作，组长负责组织联合调试，文档由全组共同编写。</w:t>
      </w:r>
    </w:p>
    <w:p w14:paraId="01816325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成员1 系统架构与后端集成</w:t>
      </w:r>
    </w:p>
    <w:p w14:paraId="78DB6FE6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需求分析、共享推理引擎和 FastAPI 主服务；串联检测、裁剪、远程识别、结果规整、健康检查和异常处理，协调各模块接口。</w:t>
      </w:r>
    </w:p>
    <w:p w14:paraId="75930BA9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车牌识别系统架构、检测识别串联、模型复用、HTTP 服务、推理并发、异常隔离。</w:t>
      </w:r>
    </w:p>
    <w:p w14:paraId="74A5DA8F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Python、FastAPI、JSON 数据结构、图像编解码、线程锁、HTTP 调用及分阶段计时；相关代码为 anpr_engine.py 与 api_server.py。</w:t>
      </w:r>
    </w:p>
    <w:p w14:paraId="582E17C1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研究与阅读方向：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研究独立识别模块如何减少重复检测，分析单进程与双服务部署的开销、模型加载及故障反馈。检索词可用 ANPR system architecture、OCR inference service。</w:t>
      </w:r>
    </w:p>
    <w:p w14:paraId="03A9F737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系统架构、接口输入输出、单图识别流程、模型状态和初步耗时，展示检测模型与识别服务的衔接。</w:t>
      </w:r>
    </w:p>
    <w:p w14:paraId="3821BFB7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完整请求链路、双服务集成、模型复用效果、异常测试与分阶段耗时，说明关键设计选择。</w:t>
      </w:r>
    </w:p>
    <w:p w14:paraId="1926B1A9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交付与协作：</w:t>
      </w:r>
      <w:r>
        <w:rPr>
          <w:rFonts w:ascii="Noto Sans CJK SC" w:hAnsi="Noto Sans CJK SC" w:eastAsia="Noto Sans CJK SC"/>
          <w:b w:val="0"/>
          <w:color w:val="000000"/>
          <w:sz w:val="20"/>
        </w:rPr>
        <w:t>交付共享引擎、接口说明和联调记录；接收成员3的检测权重及成员4的识别接口，与成员5和成员6完成系统验证。</w:t>
      </w:r>
    </w:p>
    <w:p w14:paraId="7CAD4174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成员2 数据集建设与图像处理</w:t>
      </w:r>
    </w:p>
    <w:p w14:paraId="0CC7F864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CCPD2019 文件名解析、检测标签转换、识别标签解码、车牌裁剪、分层抽样与去重；负责预处理基础学习及对照材料。</w:t>
      </w:r>
    </w:p>
    <w:p w14:paraId="6F7B4151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车牌数据集、标注解析、数据质量、样本分布、数据增强、数据泄漏、图像预处理。</w:t>
      </w:r>
    </w:p>
    <w:p w14:paraId="64D3BBEE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边界框归一化、字符索引映射、训练验证划分、图像裁剪、统计与可视化；相关代码为 tools.py、process_dataset.py 和 make_plate_rec_dataset.py。</w:t>
      </w:r>
    </w:p>
    <w:p w14:paraId="546EF0F8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研究与阅读方向：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分析清晰与困难子集的分布，比较采样比例和预处理对识别的影响。检索词可用 CCPD dataset、license plate preprocessing、dataset sampling。</w:t>
      </w:r>
    </w:p>
    <w:p w14:paraId="3B224B40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文件名标注示例、真实车牌解码、检测标签可视化、裁剪样例、子集数量及去重检查。</w:t>
      </w:r>
    </w:p>
    <w:p w14:paraId="58B65C65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最终数据划分、困难样本分布、预处理对照及错误标签处理，说明数据与推理裁剪规则的一致性。</w:t>
      </w:r>
    </w:p>
    <w:p w14:paraId="2A7D85C1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交付与协作：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向成员3交付检测数据，向成员4交付识别图像与文本标签，向成员6交付数据版本和测试样本清单。</w:t>
      </w:r>
    </w:p>
    <w:p w14:paraId="06286535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成员3 YOLO 车牌检测与定位</w:t>
      </w:r>
    </w:p>
    <w:p w14:paraId="3E6910C9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YOLO nano 微调、训练配置、检测阈值分析、验证评估及检测失败案例；研究定位偏差对识别的影响。</w:t>
      </w:r>
    </w:p>
    <w:p w14:paraId="7152C2F0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目标检测、迁移学习、车牌定位、小目标检测、数据增强、IoU、精确率、召回率。</w:t>
      </w:r>
    </w:p>
    <w:p w14:paraId="34185406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Ultralytics 训练与推理、边界框输出、IoU 与 mAP 指标、权重选择、训练曲线分析；相关代码为 train.py。</w:t>
      </w:r>
    </w:p>
    <w:p w14:paraId="79FB1BDF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研究与阅读方向：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比较传统边缘或纹理定位与学习式检测，重点分析小车牌、复杂背景和倾斜场景。检索词可用 YOLO license plate detection、small object detection。</w:t>
      </w:r>
    </w:p>
    <w:p w14:paraId="56F3A351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模型配置、数据标签、训练损失、初步检测指标和典型定位结果，说明漏检与误检原因。</w:t>
      </w:r>
    </w:p>
    <w:p w14:paraId="037EA3BF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最佳模型指标、阈值对比、困难场景案例及裁剪偏差分析，说明检测指标与整牌识别指标的区别。</w:t>
      </w:r>
    </w:p>
    <w:p w14:paraId="104E7EBD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交付与协作：</w:t>
      </w:r>
      <w:r>
        <w:rPr>
          <w:rFonts w:ascii="Noto Sans CJK SC" w:hAnsi="Noto Sans CJK SC" w:eastAsia="Noto Sans CJK SC"/>
          <w:b w:val="0"/>
          <w:color w:val="000000"/>
          <w:sz w:val="20"/>
        </w:rPr>
        <w:t>交付检测权重、配置和评估报告，与成员2核验标签，与成员1完成接入，与成员6复核端到端失败样本。</w:t>
      </w:r>
    </w:p>
    <w:p w14:paraId="711E8144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成员4 PaddleOCR 识别与场景微调</w:t>
      </w:r>
    </w:p>
    <w:p w14:paraId="4002FD49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PP-OCRv6_small_rec 微调、模型导出、独立识别服务及裁剪图评估，重点分析省份汉字和困难子集的识别误差。</w:t>
      </w:r>
    </w:p>
    <w:p w14:paraId="7AB4B834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字符序列识别、CTC 解码、迁移学习、车牌 OCR、字典一致性、模型导出、领域适配。</w:t>
      </w:r>
    </w:p>
    <w:p w14:paraId="68E37089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PaddleOCR 训练配置、预训练参数加载、PIR 推理导出和 TextRecognition；相关代码为 train_ocr.py、rec_service.py 和 verify_rec_plate.py。</w:t>
      </w:r>
    </w:p>
    <w:p w14:paraId="33D1B098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研究与阅读方向：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研究官方模型与车牌微调模型的差异，以及独立识别与检测识别流水线的区别。检索词可用 license plate text recognition、OCR fine tuning、CTC recognition。</w:t>
      </w:r>
    </w:p>
    <w:p w14:paraId="474BFCB9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车牌识别样例、官方模型基线、字典与模型结构、训练曲线、初步验证结果及服务接口。</w:t>
      </w:r>
    </w:p>
    <w:p w14:paraId="61549BB4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导出模型评估、整牌及逐位准确率、分子集对比、错误字符案例和训练部署一致性。</w:t>
      </w:r>
    </w:p>
    <w:p w14:paraId="626217D3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交付与协作：</w:t>
      </w:r>
      <w:r>
        <w:rPr>
          <w:rFonts w:ascii="Noto Sans CJK SC" w:hAnsi="Noto Sans CJK SC" w:eastAsia="Noto Sans CJK SC"/>
          <w:b w:val="0"/>
          <w:color w:val="000000"/>
          <w:sz w:val="20"/>
        </w:rPr>
        <w:t>交付推理模型、配置、识别服务和评估报告，与成员2核验标签，与成员1确认接口，与成员6进行同样本对比。</w:t>
      </w:r>
    </w:p>
    <w:p w14:paraId="1169FF9B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成员5 Web 界面与交互设计</w:t>
      </w:r>
    </w:p>
    <w:p w14:paraId="3A7C7031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图片选择、拖拽、粘贴、摄像头拍照与周期取帧；展示标注图、车牌裁剪图、置信度、耗时和历史记录。</w:t>
      </w:r>
    </w:p>
    <w:p w14:paraId="3F60C55F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图像识别交互、浏览器图像采集、异步请求、结果可视化、请求节流、用户反馈。</w:t>
      </w:r>
    </w:p>
    <w:p w14:paraId="63311E3D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HTML、CSS、JavaScript、FormData、Fetch、Base64、Canvas 和摄像头接口；对应页面为 web/index.html。</w:t>
      </w:r>
    </w:p>
    <w:p w14:paraId="31F8F532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研究与阅读方向：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研究不同输入方式、加载和错误反馈的可用性，分析采集频率与推理延迟的关系。检索词可用 browser camera capture、recognition result visualization。</w:t>
      </w:r>
    </w:p>
    <w:p w14:paraId="3E6FE264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页面布局、上传识别、结果卡片、接口字段解析、加载状态和中文显示。</w:t>
      </w:r>
    </w:p>
    <w:p w14:paraId="272F3CBF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摄像头周期取帧、历史记录、置信度与耗时展示、无车牌及服务异常提示，形成完整演示。</w:t>
      </w:r>
    </w:p>
    <w:p w14:paraId="71CD924F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交付与协作：</w:t>
      </w:r>
      <w:r>
        <w:rPr>
          <w:rFonts w:ascii="Noto Sans CJK SC" w:hAnsi="Noto Sans CJK SC" w:eastAsia="Noto Sans CJK SC"/>
          <w:b w:val="0"/>
          <w:color w:val="000000"/>
          <w:sz w:val="20"/>
        </w:rPr>
        <w:t>交付前端页面、交互说明和演示截图，与成员1统一接口，与成员6测试多种输入与异常流程。</w:t>
      </w:r>
    </w:p>
    <w:p w14:paraId="0334699A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成员6 测试评估与部署验证</w:t>
      </w:r>
    </w:p>
    <w:p w14:paraId="2F3269BD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负责模块：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功能与异常测试、端到端准确率、分阶段耗时、失败样本分析，以及双服务启动、停止和恢复验证。</w:t>
      </w:r>
    </w:p>
    <w:p w14:paraId="49FADAD9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研究关键词：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端到端评估、整牌完全匹配、逐位准确率、分层测试、延迟与吞吐、消融实验、可复现性。</w:t>
      </w:r>
    </w:p>
    <w:p w14:paraId="1ADBB172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需要掌握的技术：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真实标签比对、分子集统计、实验变量控制、测试用例设计和健康检查；相关入口为 eval_e2e.py、start_anpr.bat 和 stop_anpr.bat。</w:t>
      </w:r>
    </w:p>
    <w:p w14:paraId="67BE2605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研究与阅读方向：</w:t>
      </w:r>
      <w:r>
        <w:rPr>
          <w:rFonts w:ascii="Noto Sans CJK SC" w:hAnsi="Noto Sans CJK SC" w:eastAsia="Noto Sans CJK SC"/>
          <w:b w:val="0"/>
          <w:color w:val="000000"/>
          <w:sz w:val="20"/>
        </w:rPr>
        <w:t>研究评测数据划分、公平对比和失败归因，区分裁剪图识别与原图端到端评估。检索词可用 ANPR evaluation、exact match accuracy、OCR benchmark。</w:t>
      </w:r>
    </w:p>
    <w:p w14:paraId="3357AB5F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中期汇报内容：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测试方案、指标定义、样本清单、初步端到端识别结果和部署流程，确认实验条件可追溯。</w:t>
      </w:r>
    </w:p>
    <w:p w14:paraId="36AEC79E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期末汇报内容：</w:t>
      </w:r>
      <w:r>
        <w:rPr>
          <w:rFonts w:ascii="Noto Sans CJK SC" w:hAnsi="Noto Sans CJK SC" w:eastAsia="Noto Sans CJK SC"/>
          <w:b w:val="0"/>
          <w:color w:val="000000"/>
          <w:sz w:val="20"/>
        </w:rPr>
        <w:t>官方与微调模型同样本对比、分层评测、耗时、故障测试、失败归因及改进建议。</w:t>
      </w:r>
    </w:p>
    <w:p w14:paraId="33FD7DF4">
      <w:pPr>
        <w:widowControl/>
        <w:spacing w:before="0" w:after="60" w:line="269" w:lineRule="auto"/>
      </w:pPr>
      <w:r>
        <w:rPr>
          <w:rFonts w:ascii="Noto Sans CJK SC" w:hAnsi="Noto Sans CJK SC" w:eastAsia="Noto Sans CJK SC"/>
          <w:b/>
          <w:color w:val="000000"/>
          <w:sz w:val="20"/>
        </w:rPr>
        <w:t>交付与协作：</w:t>
      </w:r>
      <w:r>
        <w:rPr>
          <w:rFonts w:ascii="Noto Sans CJK SC" w:hAnsi="Noto Sans CJK SC" w:eastAsia="Noto Sans CJK SC"/>
          <w:b w:val="0"/>
          <w:color w:val="000000"/>
          <w:sz w:val="20"/>
        </w:rPr>
        <w:t>交付评估报告、测试记录、部署说明和问题清单；汇总各成员材料，组织全组演示及个人贡献说明。</w:t>
      </w:r>
    </w:p>
    <w:p w14:paraId="1025D908">
      <w:pPr>
        <w:pStyle w:val="3"/>
        <w:keepNext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四 任务侧重与协作安排</w:t>
      </w:r>
    </w:p>
    <w:p w14:paraId="3213DA25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各方向同时包含实现和分析工作。模型训练依赖数据准备，界面展示依赖接口稳定，最终评估依赖模型与服务版本一致。组长根据阶段进度协调协助人员，避免把联调和文档全部交给某一成员。</w:t>
      </w:r>
    </w:p>
    <w:tbl>
      <w:tblPr>
        <w:tblStyle w:val="32"/>
        <w:tblW w:w="8859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814"/>
        <w:gridCol w:w="2268"/>
        <w:gridCol w:w="4210"/>
      </w:tblGrid>
      <w:tr w14:paraId="69F24DC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CEF7D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成员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C1EB9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主要方向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9A118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任务侧重</w:t>
            </w:r>
          </w:p>
        </w:tc>
        <w:tc>
          <w:tcPr>
            <w:tcW w:w="42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9DEB2">
            <w:pPr>
              <w:keepNext/>
              <w:widowControl/>
              <w:spacing w:before="0" w:after="0" w:line="264" w:lineRule="auto"/>
              <w:jc w:val="center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成果验收</w:t>
            </w:r>
          </w:p>
        </w:tc>
      </w:tr>
      <w:tr w14:paraId="263885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F203F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0662B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架构与后端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2CD8E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系统集成与协调</w:t>
            </w:r>
          </w:p>
        </w:tc>
        <w:tc>
          <w:tcPr>
            <w:tcW w:w="42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841F3">
            <w:pPr>
              <w:widowControl/>
              <w:spacing w:before="0" w:after="0" w:line="264" w:lineRule="auto"/>
              <w:jc w:val="left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完整链路、接口和异常状态</w:t>
            </w:r>
          </w:p>
        </w:tc>
      </w:tr>
      <w:tr w14:paraId="48A5C66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1A2D6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311777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数据与图像处理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BF161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数据质量与统计</w:t>
            </w:r>
          </w:p>
        </w:tc>
        <w:tc>
          <w:tcPr>
            <w:tcW w:w="42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FCF7C">
            <w:pPr>
              <w:widowControl/>
              <w:spacing w:before="0" w:after="0" w:line="264" w:lineRule="auto"/>
              <w:jc w:val="left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标签、划分和去重记录</w:t>
            </w:r>
          </w:p>
        </w:tc>
      </w:tr>
      <w:tr w14:paraId="6C6366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F6C12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EDBFF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YOLO 检测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16C35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训练与定位分析</w:t>
            </w:r>
          </w:p>
        </w:tc>
        <w:tc>
          <w:tcPr>
            <w:tcW w:w="42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238E6">
            <w:pPr>
              <w:widowControl/>
              <w:spacing w:before="0" w:after="0" w:line="264" w:lineRule="auto"/>
              <w:jc w:val="left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模型、检测指标和失败案例</w:t>
            </w:r>
          </w:p>
        </w:tc>
      </w:tr>
      <w:tr w14:paraId="67FBC1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EC78E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4EED2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PaddleOCR 识别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0B66D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微调与推理一致性</w:t>
            </w:r>
          </w:p>
        </w:tc>
        <w:tc>
          <w:tcPr>
            <w:tcW w:w="42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DC8C5">
            <w:pPr>
              <w:widowControl/>
              <w:spacing w:before="0" w:after="0" w:line="264" w:lineRule="auto"/>
              <w:jc w:val="left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导出模型与同口径评估</w:t>
            </w:r>
          </w:p>
        </w:tc>
      </w:tr>
      <w:tr w14:paraId="5232DE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5FCF7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E386C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Web 交互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FD6E9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输入采集与展示</w:t>
            </w:r>
          </w:p>
        </w:tc>
        <w:tc>
          <w:tcPr>
            <w:tcW w:w="42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75E53">
            <w:pPr>
              <w:widowControl/>
              <w:spacing w:before="0" w:after="0" w:line="264" w:lineRule="auto"/>
              <w:jc w:val="left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多输入方式与反馈流程</w:t>
            </w:r>
          </w:p>
        </w:tc>
      </w:tr>
      <w:tr w14:paraId="3A71170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3B7F8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w="181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4370D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测试与部署</w:t>
            </w:r>
          </w:p>
        </w:tc>
        <w:tc>
          <w:tcPr>
            <w:tcW w:w="226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7E042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公平评估与故障验证</w:t>
            </w:r>
          </w:p>
        </w:tc>
        <w:tc>
          <w:tcPr>
            <w:tcW w:w="42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1C9F9">
            <w:pPr>
              <w:widowControl/>
              <w:spacing w:before="0" w:after="0" w:line="264" w:lineRule="auto"/>
              <w:jc w:val="left"/>
              <w:rPr>
                <w:rFonts w:ascii="Noto Sans CJK SC" w:hAnsi="Noto Sans CJK SC" w:eastAsia="Noto Sans CJK SC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评估报告与可复现记录</w:t>
            </w:r>
          </w:p>
        </w:tc>
      </w:tr>
    </w:tbl>
    <w:p w14:paraId="319EFB3C">
      <w:pPr>
        <w:spacing w:before="0" w:after="80" w:line="100" w:lineRule="exact"/>
      </w:pPr>
    </w:p>
    <w:p w14:paraId="7A9FF082">
      <w:pPr>
        <w:pStyle w:val="3"/>
        <w:keepNext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五 深入研究与综述方向</w:t>
      </w:r>
    </w:p>
    <w:p w14:paraId="3F2F5101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1 传统定位与深度学习定位</w:t>
      </w:r>
    </w:p>
    <w:p w14:paraId="495C869C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围绕边缘、纹理、颜色及几何规则定位与 YOLO 检测展开综述。成员2与成员3说明传统方法的参数依赖和可解释性，以及学习式检测对数据规模、复杂背景和小目标的适应性。若开展实现对比，应使用相同测试图像。</w:t>
      </w:r>
    </w:p>
    <w:p w14:paraId="3A7D89A8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 数据质量与复杂场景适应</w:t>
      </w:r>
    </w:p>
    <w:p w14:paraId="0521F360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成员2与成员4重点研究标签质量、困难样本抽样、裁剪边距和预处理对识别效果的影响。区分训练数据分布和测试场景，讨论样本加权是否改善模糊、倾斜等条件下的表现，并记录对清晰样本的影响。</w:t>
      </w:r>
    </w:p>
    <w:p w14:paraId="7D5DEB78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3 整牌识别与模型微调</w:t>
      </w:r>
    </w:p>
    <w:p w14:paraId="57E005E7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成员4比较传统模板识别与字符序列识别的处理过程，解释显式字符分割、字典、CTC 解码和迁移学习的作用。结合项目官方模型与微调模型的结果，讨论省份汉字、相似字母数字及困难子集中的误差变化。</w:t>
      </w:r>
    </w:p>
    <w:p w14:paraId="008F052B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4 服务部署与识别交互</w:t>
      </w:r>
    </w:p>
    <w:p w14:paraId="1215623C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成员1、成员5和成员6研究模型复用、双服务请求开销、故障反馈及摄像头采样频率。评估服务端吞吐与浏览器取帧展示的不同口径，说明当前方案的适用条件及资源限制。</w:t>
      </w:r>
    </w:p>
    <w:p w14:paraId="1060F7F7">
      <w:pPr>
        <w:pStyle w:val="3"/>
        <w:keepNext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六 中期与期末汇报安排</w:t>
      </w:r>
    </w:p>
    <w:p w14:paraId="2271CFC6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1 中期汇报</w:t>
      </w:r>
    </w:p>
    <w:p w14:paraId="2A6EF59F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中期汇报重点验证数据、模型、接口和页面是否能够衔接。每位成员展示本人模块的原理、初步实现、输入输出和实验记录，说明尚待解决的问题及其对下游模块的影响。</w:t>
      </w:r>
    </w:p>
    <w:p w14:paraId="75B51FC1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全组展示系统技术路线、六人分工和模块接口关系。</w:t>
      </w:r>
    </w:p>
    <w:p w14:paraId="305F2080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成员2展示标签解析、样本分布、裁剪与去重；成员3和成员4展示模型配置、基线与初步训练结果。</w:t>
      </w:r>
    </w:p>
    <w:p w14:paraId="2DA15B35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成员1和成员5展示单图识别接口、页面结果和模型状态；成员6展示测试口径、部署流程和阶段问题。</w:t>
      </w:r>
    </w:p>
    <w:p w14:paraId="1743FB7D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提交个人研究关键词、阅读笔记、代码记录及至少一项有明确变量的初步对比。</w:t>
      </w:r>
    </w:p>
    <w:p w14:paraId="288DDA16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2 期末汇报</w:t>
      </w:r>
    </w:p>
    <w:p w14:paraId="31C31AF5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期末汇报展示完整运行过程，并以统一数据和明确指标解释系统效果。报告成功样本及失败样本，说明方法选择、改进收益、运行代价和实际限制。</w:t>
      </w:r>
    </w:p>
    <w:p w14:paraId="448D547F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演示上传、粘贴、拍照和摄像头周期取帧，展示车牌文字、位置框、裁剪图和耗时。</w:t>
      </w:r>
    </w:p>
    <w:p w14:paraId="551FEB54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分别汇报检测指标、裁剪图识别指标和原图端到端指标，注明样本来源、数量与模型版本。</w:t>
      </w:r>
    </w:p>
    <w:p w14:paraId="17D2B5DD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展示官方模型与微调模型的同样本结果，以及模糊、旋转、倾斜等子集的表现。</w:t>
      </w:r>
    </w:p>
    <w:p w14:paraId="424B951E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展示无车牌、无效输入及服务中断恢复等测试，解释失败发生在哪个模块。</w:t>
      </w:r>
    </w:p>
    <w:p w14:paraId="71AB3239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提交系统代码、模型与配置、评测记录、部署说明、个人贡献材料和答辩文稿。</w:t>
      </w:r>
    </w:p>
    <w:p w14:paraId="4E15B6AE">
      <w:pPr>
        <w:pStyle w:val="3"/>
        <w:keepNext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七 对比实验与评价设计</w:t>
      </w:r>
    </w:p>
    <w:p w14:paraId="7301AA79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实验采用相同测试样本、相同指标和可追溯的运行环境。每次尽量只改变一个主要变量，其他条件保持一致。下表为建议实验设计，尚未开展的项目不得作为已有结论。</w:t>
      </w:r>
    </w:p>
    <w:tbl>
      <w:tblPr>
        <w:tblStyle w:val="32"/>
        <w:tblW w:w="9993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041"/>
        <w:gridCol w:w="2324"/>
        <w:gridCol w:w="2438"/>
        <w:gridCol w:w="2623"/>
      </w:tblGrid>
      <w:tr w14:paraId="2EFE21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9358D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9ABC9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变化因素</w:t>
            </w:r>
          </w:p>
        </w:tc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A33A1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固定条件</w:t>
            </w:r>
          </w:p>
        </w:tc>
        <w:tc>
          <w:tcPr>
            <w:tcW w:w="243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CC47C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记录指标</w:t>
            </w:r>
          </w:p>
        </w:tc>
        <w:tc>
          <w:tcPr>
            <w:tcW w:w="26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E48F7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研究目的</w:t>
            </w:r>
          </w:p>
        </w:tc>
      </w:tr>
      <w:tr w14:paraId="3C2FF4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9E2B6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3D7EC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原图与预处理图</w:t>
            </w:r>
          </w:p>
        </w:tc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F8968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相同裁剪与识别模型</w:t>
            </w:r>
          </w:p>
        </w:tc>
        <w:tc>
          <w:tcPr>
            <w:tcW w:w="243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8F511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整牌准确率、耗时</w:t>
            </w:r>
          </w:p>
        </w:tc>
        <w:tc>
          <w:tcPr>
            <w:tcW w:w="26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E143D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判断增强或去噪是否有效</w:t>
            </w:r>
          </w:p>
        </w:tc>
      </w:tr>
      <w:tr w14:paraId="63B661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96C4D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A16D7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YOLO 置信度阈值</w:t>
            </w:r>
          </w:p>
        </w:tc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2BF40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相同权重与原图</w:t>
            </w:r>
          </w:p>
        </w:tc>
        <w:tc>
          <w:tcPr>
            <w:tcW w:w="243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89543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漏检、误检、端到端准确率</w:t>
            </w:r>
          </w:p>
        </w:tc>
        <w:tc>
          <w:tcPr>
            <w:tcW w:w="26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44BC6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确定阈值与召回率取舍</w:t>
            </w:r>
          </w:p>
        </w:tc>
      </w:tr>
      <w:tr w14:paraId="677B43D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B4DD8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661A8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不同裁剪边距</w:t>
            </w:r>
          </w:p>
        </w:tc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CECCB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相同图像和识别模型</w:t>
            </w:r>
          </w:p>
        </w:tc>
        <w:tc>
          <w:tcPr>
            <w:tcW w:w="243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44CC68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字符完整性、准确率</w:t>
            </w:r>
          </w:p>
        </w:tc>
        <w:tc>
          <w:tcPr>
            <w:tcW w:w="26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53130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分析裁剪对识别的影响</w:t>
            </w:r>
          </w:p>
        </w:tc>
      </w:tr>
      <w:tr w14:paraId="1100ED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B4FE2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913EA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官方与微调识别模型</w:t>
            </w:r>
          </w:p>
        </w:tc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B5E4C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相同4000张验证裁剪图</w:t>
            </w:r>
          </w:p>
        </w:tc>
        <w:tc>
          <w:tcPr>
            <w:tcW w:w="243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F7FC2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整牌与逐位准确率</w:t>
            </w:r>
          </w:p>
        </w:tc>
        <w:tc>
          <w:tcPr>
            <w:tcW w:w="26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C9664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评价车牌场景微调收益</w:t>
            </w:r>
          </w:p>
        </w:tc>
      </w:tr>
      <w:tr w14:paraId="358FD5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76318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5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185FCD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不同困难子集</w:t>
            </w:r>
          </w:p>
        </w:tc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8CFFE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相同模型和指标</w:t>
            </w:r>
          </w:p>
        </w:tc>
        <w:tc>
          <w:tcPr>
            <w:tcW w:w="243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DEEED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分子集准确率、失败类型</w:t>
            </w:r>
          </w:p>
        </w:tc>
        <w:tc>
          <w:tcPr>
            <w:tcW w:w="26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D943E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分析复杂场景适应性</w:t>
            </w:r>
          </w:p>
        </w:tc>
      </w:tr>
      <w:tr w14:paraId="39D5E7A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83AAE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w="204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6BA00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识别服务正常与异常</w:t>
            </w:r>
          </w:p>
        </w:tc>
        <w:tc>
          <w:tcPr>
            <w:tcW w:w="2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8B05D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相同主服务与请求</w:t>
            </w:r>
          </w:p>
        </w:tc>
        <w:tc>
          <w:tcPr>
            <w:tcW w:w="243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52BAF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状态、错误反馈、恢复行为</w:t>
            </w:r>
          </w:p>
        </w:tc>
        <w:tc>
          <w:tcPr>
            <w:tcW w:w="262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AFDC0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验证部署可靠性</w:t>
            </w:r>
          </w:p>
        </w:tc>
      </w:tr>
    </w:tbl>
    <w:p w14:paraId="68DAF532">
      <w:pPr>
        <w:spacing w:before="0" w:after="80" w:line="100" w:lineRule="exact"/>
      </w:pPr>
    </w:p>
    <w:p w14:paraId="54EDD63F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指标定义与现有比较依据</w:t>
      </w:r>
    </w:p>
    <w:p w14:paraId="42A0994D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整牌完全匹配率为预测文字与真实车牌全部一致的样本比例；逐位字符准确率按对应字符位置比较。检测模块另报告精确率、召回率与 mAP，端到端模块记录整牌准确率、检测耗时、识别耗时、总耗时及吞吐。格式有效标记和识别置信度不能替代准确率。</w:t>
      </w:r>
    </w:p>
    <w:tbl>
      <w:tblPr>
        <w:tblStyle w:val="32"/>
        <w:tblW w:w="9993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4"/>
        <w:gridCol w:w="2835"/>
        <w:gridCol w:w="2834"/>
      </w:tblGrid>
      <w:tr w14:paraId="501B8A2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AD72E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评测范围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E6B56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官方识别模型</w:t>
            </w:r>
          </w:p>
        </w:tc>
        <w:tc>
          <w:tcPr>
            <w:tcW w:w="28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5445D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微调识别模型</w:t>
            </w:r>
          </w:p>
        </w:tc>
      </w:tr>
      <w:tr w14:paraId="3250105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2EEB3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4000张验证车牌裁剪图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31D97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1189张正确
约29.73%</w:t>
            </w:r>
          </w:p>
        </w:tc>
        <w:tc>
          <w:tcPr>
            <w:tcW w:w="28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A7745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3841张正确
约96.03%</w:t>
            </w:r>
          </w:p>
        </w:tc>
      </w:tr>
      <w:tr w14:paraId="5FFBE1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7CB6D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144张 CCPD 原图端到端评测</w:t>
            </w:r>
          </w:p>
        </w:tc>
        <w:tc>
          <w:tcPr>
            <w:tcW w:w="2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2129F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27张正确
18.75%</w:t>
            </w:r>
          </w:p>
        </w:tc>
        <w:tc>
          <w:tcPr>
            <w:tcW w:w="28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EF92F">
            <w:pPr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139张正确
约96.53%</w:t>
            </w:r>
          </w:p>
        </w:tc>
      </w:tr>
    </w:tbl>
    <w:p w14:paraId="239BF38F">
      <w:pPr>
        <w:spacing w:before="0" w:after="80" w:line="100" w:lineRule="exact"/>
      </w:pPr>
    </w:p>
    <w:p w14:paraId="39F3D8F6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以上数字来自项目已有逐样本评测记录，是验证裁剪图与144张原图样本的结果。两种口径应分别报告，后续补充独立测试集及实际拍摄场景；保持训练、验证和测试划分明确，避免将已有样本结果直接推广到所有场景。</w:t>
      </w:r>
    </w:p>
    <w:p w14:paraId="26584A9E">
      <w:pPr>
        <w:pStyle w:val="3"/>
        <w:keepNext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八 实施阶段与技术路线</w:t>
      </w:r>
    </w:p>
    <w:tbl>
      <w:tblPr>
        <w:tblStyle w:val="32"/>
        <w:tblW w:w="8292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757"/>
        <w:gridCol w:w="2834"/>
      </w:tblGrid>
      <w:tr w14:paraId="7CFAB13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AE062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3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41D37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主要任务</w:t>
            </w:r>
          </w:p>
        </w:tc>
        <w:tc>
          <w:tcPr>
            <w:tcW w:w="28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2F144">
            <w:pPr>
              <w:keepNext/>
              <w:widowControl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验收成果</w:t>
            </w:r>
          </w:p>
        </w:tc>
      </w:tr>
      <w:tr w14:paraId="18C4F41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E63F2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第一阶段
需求与数据</w:t>
            </w:r>
          </w:p>
        </w:tc>
        <w:tc>
          <w:tcPr>
            <w:tcW w:w="3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104E0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明确功能接口；解析标签、划分数据和制作裁剪图</w:t>
            </w:r>
          </w:p>
        </w:tc>
        <w:tc>
          <w:tcPr>
            <w:tcW w:w="28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7D2BB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需求说明、数据与标签核验</w:t>
            </w:r>
          </w:p>
        </w:tc>
      </w:tr>
      <w:tr w14:paraId="502D3D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7FFB5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第二阶段
模型与实验</w:t>
            </w:r>
          </w:p>
        </w:tc>
        <w:tc>
          <w:tcPr>
            <w:tcW w:w="3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A518F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完成检测和识别训练分析、模型导出与基线比较</w:t>
            </w:r>
          </w:p>
        </w:tc>
        <w:tc>
          <w:tcPr>
            <w:tcW w:w="28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603E2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模型、配置、曲线与模块评估</w:t>
            </w:r>
          </w:p>
        </w:tc>
      </w:tr>
      <w:tr w14:paraId="4E4DE94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9E21B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第三阶段
系统与联调</w:t>
            </w:r>
          </w:p>
        </w:tc>
        <w:tc>
          <w:tcPr>
            <w:tcW w:w="3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44403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接入共享引擎、双服务和 Web 页面，验证输入输出</w:t>
            </w:r>
          </w:p>
        </w:tc>
        <w:tc>
          <w:tcPr>
            <w:tcW w:w="28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75460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完整识别流程与联调记录</w:t>
            </w:r>
          </w:p>
        </w:tc>
      </w:tr>
      <w:tr w14:paraId="4C5D68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4A26E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第四阶段
测试与汇报</w:t>
            </w:r>
          </w:p>
        </w:tc>
        <w:tc>
          <w:tcPr>
            <w:tcW w:w="375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8C06D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端到端评估、异常验证、失败分析和材料汇总</w:t>
            </w:r>
          </w:p>
        </w:tc>
        <w:tc>
          <w:tcPr>
            <w:tcW w:w="283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B13B3">
            <w:pPr>
              <w:widowControl/>
              <w:spacing w:before="0" w:after="0" w:line="26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测试报告、部署说明与答辩材料</w:t>
            </w:r>
          </w:p>
        </w:tc>
      </w:tr>
    </w:tbl>
    <w:p w14:paraId="6F21F657">
      <w:pPr>
        <w:spacing w:before="0" w:after="80" w:line="100" w:lineRule="exact"/>
      </w:pPr>
    </w:p>
    <w:p w14:paraId="6F9B1AFF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训练路线</w:t>
      </w:r>
    </w:p>
    <w:p w14:paraId="684C83E4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检测训练：CCPD 原图 → 文件名标注解析 → YOLO 标签 → 预训练模型微调 → 检测权重。识别训练：车牌索引解码 → 裁剪图与文本配对 → 分层抽样及去重 → PaddleOCR 微调 → PIR 推理导出。</w:t>
      </w:r>
    </w:p>
    <w:p w14:paraId="557E1B03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在线推理路线</w:t>
      </w:r>
    </w:p>
    <w:p w14:paraId="3E8B1662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车辆图像或摄像头帧 → 图像解码 → YOLO 定位 → 扩展边距裁剪 → HTTP 识别服务 → 字符规整与基本格式检查 → Web 展示及接口返回。</w:t>
      </w:r>
    </w:p>
    <w:p w14:paraId="6EB4FE3E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模块交接与版本记录</w:t>
      </w:r>
    </w:p>
    <w:p w14:paraId="6E166E33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成员2向成员3和成员4交付数据版本及标签规则；成员3向成员1交付检测权重；成员4交付推理模型与服务接口；成员1与成员5确认返回字段；成员6依据同一模型和数据版本组织验收。各阶段保留配置、结果和问题处理记录，具体日期按课程安排确定。</w:t>
      </w:r>
    </w:p>
    <w:p w14:paraId="17088E9F">
      <w:pPr>
        <w:pStyle w:val="3"/>
        <w:keepNext/>
        <w:widowControl/>
        <w:spacing w:before="240" w:after="120" w:line="259" w:lineRule="auto"/>
      </w:pPr>
      <w:r>
        <w:rPr>
          <w:rFonts w:ascii="Noto Sans CJK SC" w:hAnsi="Noto Sans CJK SC" w:eastAsia="Noto Sans CJK SC"/>
          <w:b/>
          <w:color w:val="000000"/>
          <w:sz w:val="30"/>
        </w:rPr>
        <w:t>九 预期成果与后续改进</w:t>
      </w:r>
    </w:p>
    <w:p w14:paraId="4CD8EDE6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项目最终形成一套可演示、可解释、可复核的车牌识别系统。六名成员分别交付模块代码和技术说明，全组共同提交数据处理记录、检测及识别模型、训练配置、Web 界面、部署说明、对比评估和项目总结。</w:t>
      </w:r>
    </w:p>
    <w:p w14:paraId="5FF65645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技术报告重点解释数据标注如何转成训练样本、YOLO 如何提供车牌区域、PaddleOCR 如何完成整牌识别、微调如何改变结果，以及双服务如何适配当前环境。结合指导书补充传统图像处理的原理与对照材料，分别标明已有功能和拟开展实验。</w:t>
      </w:r>
    </w:p>
    <w:p w14:paraId="00EAEB7B">
      <w:pPr>
        <w:widowControl/>
        <w:spacing w:before="0" w:after="120" w:line="283" w:lineRule="auto"/>
        <w:ind w:firstLine="432"/>
      </w:pPr>
      <w:r>
        <w:rPr>
          <w:rFonts w:ascii="Noto Sans CJK SC" w:hAnsi="Noto Sans CJK SC" w:eastAsia="Noto Sans CJK SC"/>
          <w:b w:val="0"/>
          <w:color w:val="000000"/>
          <w:sz w:val="21"/>
        </w:rPr>
        <w:t>后续可围绕独立场景测试、四角透视矫正、困难样本补充和摄像头取帧频率优化开展研究。每项改进均需给出同口径准确率、运行时间及失败案例，依据实验结果决定是否进入主流程。</w:t>
      </w:r>
    </w:p>
    <w:p w14:paraId="31681FFB">
      <w:pPr>
        <w:pStyle w:val="4"/>
        <w:keepNext/>
        <w:widowControl/>
        <w:spacing w:before="180" w:after="80" w:line="259" w:lineRule="auto"/>
      </w:pPr>
      <w:r>
        <w:rPr>
          <w:rFonts w:ascii="Noto Sans CJK SC" w:hAnsi="Noto Sans CJK SC" w:eastAsia="Noto Sans CJK SC"/>
          <w:b/>
          <w:color w:val="000000"/>
          <w:sz w:val="25"/>
        </w:rPr>
        <w:t>资料依据</w:t>
      </w:r>
    </w:p>
    <w:p w14:paraId="1142ED09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《车牌识别系统创新项目实践指导书》中的图像处理、定位与识别实践内容。</w:t>
      </w:r>
    </w:p>
    <w:p w14:paraId="52832DB1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参考文档《车牌识别系统项目分工与技术路线规划》的章节组织、成员任务说明和阶段汇报形式。</w:t>
      </w:r>
    </w:p>
    <w:p w14:paraId="34FBA977">
      <w:pPr>
        <w:pStyle w:val="16"/>
        <w:widowControl/>
        <w:spacing w:before="0" w:after="60" w:line="269" w:lineRule="auto"/>
      </w:pPr>
      <w:r>
        <w:rPr>
          <w:rFonts w:ascii="Noto Sans CJK SC" w:hAnsi="Noto Sans CJK SC" w:eastAsia="Noto Sans CJK SC"/>
          <w:b w:val="0"/>
          <w:color w:val="000000"/>
          <w:sz w:val="20"/>
        </w:rPr>
        <w:t>YOLO-Paddle-ANPR 项目代码、训练配置及官方和微调模型的逐样本评测记录。</w:t>
      </w:r>
    </w:p>
    <w:sectPr>
      <w:footerReference r:id="rId5" w:type="default"/>
      <w:pgSz w:w="12240" w:h="15840"/>
      <w:pgMar w:top="1037" w:right="1123" w:bottom="979" w:left="1123" w:header="432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38DAE2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8"/>
      </w:rPr>
      <w:fldChar w:fldCharType="begin"/>
    </w:r>
    <w:r>
      <w:rPr>
        <w:rFonts w:ascii="Noto Sans CJK SC" w:hAnsi="Noto Sans CJK SC" w:eastAsia="Noto Sans CJK SC"/>
        <w:b w:val="0"/>
        <w:color w:val="666666"/>
        <w:sz w:val="18"/>
      </w:rPr>
      <w:instrText xml:space="preserve"> PAGE </w:instrText>
    </w:r>
    <w:r>
      <w:rPr>
        <w:rFonts w:ascii="Noto Sans CJK SC" w:hAnsi="Noto Sans CJK SC" w:eastAsia="Noto Sans CJK SC"/>
        <w:b w:val="0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CCE"/>
    <w:rsid w:val="0015074B"/>
    <w:rsid w:val="0029639D"/>
    <w:rsid w:val="00326F90"/>
    <w:rsid w:val="00AA1D8D"/>
    <w:rsid w:val="00B47730"/>
    <w:rsid w:val="00CB0664"/>
    <w:rsid w:val="00FC693F"/>
    <w:rsid w:val="2D483DC1"/>
    <w:rsid w:val="6A6C5B87"/>
    <w:rsid w:val="6A9C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3038</Words>
  <Characters>3577</Characters>
  <Lines>0</Lines>
  <Paragraphs>0</Paragraphs>
  <TotalTime>1</TotalTime>
  <ScaleCrop>false</ScaleCrop>
  <LinksUpToDate>false</LinksUpToDate>
  <CharactersWithSpaces>3687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项目小组</dc:creator>
  <cp:lastModifiedBy>郭警豪</cp:lastModifiedBy>
  <dcterms:modified xsi:type="dcterms:W3CDTF">2026-10-27T07:34:06Z</dcterms:modified>
  <dc:subject>YOLO-Paddle-ANPR 六人小组项目规划</dc:subject>
  <dc:title>车牌识别系统六人分工与技术路线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eyJoZGlkIjoiY2Y3MDE4NTBmNjRmNzhmM2RhYWQ5YTk5OTFmYTBkYzUiLCJ1c2VySWQiOiIxNzg2ODU0OTE5In0=</vt:lpwstr>
  </property>
  <property fmtid="{D5CDD505-2E9C-101B-9397-08002B2CF9AE}" pid="3" name="KSOProductBuildVer">
    <vt:lpwstr>2052-12.1.0.28022</vt:lpwstr>
  </property>
  <property fmtid="{D5CDD505-2E9C-101B-9397-08002B2CF9AE}" pid="4" name="ICV">
    <vt:lpwstr>6B1584A9EC32407AAB6D43C3BC82E5BA_12</vt:lpwstr>
  </property>
</Properties>
</file>