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1809BB">
      <w:pPr>
        <w:keepNext w:val="0"/>
        <w:keepLines w:val="0"/>
        <w:widowControl/>
        <w:suppressLineNumbers w:val="0"/>
        <w:jc w:val="left"/>
        <w:rPr>
          <w:rFonts w:hint="eastAsia" w:ascii="黑体" w:hAnsi="黑体" w:eastAsia="黑体" w:cs="黑体"/>
          <w:i w:val="0"/>
          <w:iCs w:val="0"/>
          <w:caps w:val="0"/>
          <w:spacing w:val="0"/>
          <w:kern w:val="0"/>
          <w:sz w:val="20"/>
          <w:szCs w:val="20"/>
          <w:u w:val="none"/>
          <w:lang w:val="en-US" w:eastAsia="zh-CN" w:bidi="ar"/>
        </w:rPr>
      </w:pPr>
      <w:r>
        <w:rPr>
          <w:rFonts w:hint="eastAsia" w:ascii="黑体" w:hAnsi="黑体" w:eastAsia="黑体" w:cs="黑体"/>
          <w:i w:val="0"/>
          <w:iCs w:val="0"/>
          <w:caps w:val="0"/>
          <w:spacing w:val="0"/>
          <w:kern w:val="0"/>
          <w:sz w:val="20"/>
          <w:szCs w:val="20"/>
          <w:u w:val="none"/>
          <w:lang w:val="en-US" w:eastAsia="zh-CN" w:bidi="ar"/>
        </w:rPr>
        <w:t>陈述信</w:t>
      </w:r>
    </w:p>
    <w:p w14:paraId="638CFF99">
      <w:pPr>
        <w:keepNext w:val="0"/>
        <w:keepLines w:val="0"/>
        <w:widowControl/>
        <w:suppressLineNumbers w:val="0"/>
        <w:jc w:val="both"/>
        <w:rPr>
          <w:rFonts w:hint="eastAsia" w:ascii="黑体" w:hAnsi="黑体" w:eastAsia="黑体" w:cs="黑体"/>
          <w:i w:val="0"/>
          <w:iCs w:val="0"/>
          <w:caps w:val="0"/>
          <w:spacing w:val="0"/>
          <w:kern w:val="0"/>
          <w:sz w:val="20"/>
          <w:szCs w:val="20"/>
          <w:u w:val="none"/>
          <w:lang w:val="en-US" w:eastAsia="zh-CN" w:bidi="ar"/>
        </w:rPr>
      </w:pPr>
      <w:r>
        <w:rPr>
          <w:rFonts w:hint="eastAsia" w:ascii="黑体" w:hAnsi="黑体" w:eastAsia="黑体" w:cs="黑体"/>
          <w:i w:val="0"/>
          <w:iCs w:val="0"/>
          <w:caps w:val="0"/>
          <w:spacing w:val="0"/>
          <w:kern w:val="0"/>
          <w:sz w:val="20"/>
          <w:szCs w:val="20"/>
          <w:u w:val="none"/>
          <w:lang w:val="en-US" w:eastAsia="zh-CN" w:bidi="ar"/>
        </w:rPr>
        <w:t>初遇霍格沃茨，我确实是出于一种好奇的心理。一堂写作与沟通课程，如何能与光怪陆离的魔法世界所融合？但是经过一学期的课程，我第一次深刻地明白了，一个或许在我脑海中有所浮现但是并不清晰的观点：魔法世界实际上就是我们现实世界的投射；或者说，表面上憎恶分明、非黑即白、主角光环遍地的魔法世界，其中的内涵可能比现代社会本身还要丰富。罗琳在书中留下的很多引人深思的细节，经过老师的提点，让我豁然开朗。我本身就对魔法世界中描述的和现实麻瓜世界相结合的权力结构、武装冲突等内容颇感兴趣；而老师在与我们的探讨中，指出了魔法世界内核的中世纪化属性，则让我茅塞顿开。兜兜转转，我便最终选定了这个主题。</w:t>
      </w:r>
    </w:p>
    <w:p w14:paraId="5042E036">
      <w:pPr>
        <w:keepNext w:val="0"/>
        <w:keepLines w:val="0"/>
        <w:widowControl/>
        <w:suppressLineNumbers w:val="0"/>
        <w:jc w:val="both"/>
        <w:rPr>
          <w:rFonts w:hint="eastAsia" w:ascii="黑体" w:hAnsi="黑体" w:eastAsia="黑体" w:cs="黑体"/>
          <w:i w:val="0"/>
          <w:iCs w:val="0"/>
          <w:caps w:val="0"/>
          <w:spacing w:val="0"/>
          <w:kern w:val="0"/>
          <w:sz w:val="20"/>
          <w:szCs w:val="20"/>
          <w:u w:val="none"/>
          <w:lang w:val="en-US" w:eastAsia="zh-CN" w:bidi="ar"/>
        </w:rPr>
      </w:pPr>
      <w:r>
        <w:rPr>
          <w:rFonts w:hint="eastAsia" w:ascii="黑体" w:hAnsi="黑体" w:eastAsia="黑体" w:cs="黑体"/>
          <w:i w:val="0"/>
          <w:iCs w:val="0"/>
          <w:caps w:val="0"/>
          <w:spacing w:val="0"/>
          <w:kern w:val="0"/>
          <w:sz w:val="20"/>
          <w:szCs w:val="20"/>
          <w:u w:val="none"/>
          <w:lang w:val="en-US" w:eastAsia="zh-CN" w:bidi="ar"/>
        </w:rPr>
        <w:t>开始写作时，我其实更出于一个基于自己脑海幻想的讲故事的阶段——在我的拟稿中，我几乎是在乱七八糟缝合参考阅读书目中的一些理论，给我自己大脑中的那个战斗爽！斗争酷！的故事世界写自白。这样的文章显然是很不具备学术气息的。我很快意识到了这一点——尤其是老师指出，我的拟稿太杂太乱，好像什么都想说，但是到头来不过讲了个故事而已。</w:t>
      </w:r>
    </w:p>
    <w:p w14:paraId="11B08C36">
      <w:pPr>
        <w:keepNext w:val="0"/>
        <w:keepLines w:val="0"/>
        <w:widowControl/>
        <w:suppressLineNumbers w:val="0"/>
        <w:jc w:val="both"/>
        <w:rPr>
          <w:rFonts w:hint="eastAsia" w:ascii="黑体" w:hAnsi="黑体" w:eastAsia="黑体" w:cs="黑体"/>
          <w:i w:val="0"/>
          <w:iCs w:val="0"/>
          <w:caps w:val="0"/>
          <w:spacing w:val="0"/>
          <w:kern w:val="0"/>
          <w:sz w:val="20"/>
          <w:szCs w:val="20"/>
          <w:u w:val="none"/>
          <w:lang w:val="en-US" w:eastAsia="zh-CN" w:bidi="ar"/>
        </w:rPr>
      </w:pPr>
      <w:r>
        <w:rPr>
          <w:rFonts w:hint="eastAsia" w:ascii="黑体" w:hAnsi="黑体" w:eastAsia="黑体" w:cs="黑体"/>
          <w:i w:val="0"/>
          <w:iCs w:val="0"/>
          <w:caps w:val="0"/>
          <w:spacing w:val="0"/>
          <w:kern w:val="0"/>
          <w:sz w:val="20"/>
          <w:szCs w:val="20"/>
          <w:u w:val="none"/>
          <w:lang w:val="en-US" w:eastAsia="zh-CN" w:bidi="ar"/>
        </w:rPr>
        <w:t>我意识到我需要收缩论述范围。正好我脑海中最好奇的一直就是魔法世界中一对奇特的对照组——魔法部与食死徒。魔法部是一个非常不权威的权威机构——在我眼里仿佛是”偷穿大人衣服的小孩“，套着现代议会的皮去走他那老古董的路，并且经常施暴、采取不符合其身份的举动。从这一点上看，食死徒居然和他们很像——都在用不合理的暴力进行统治。我明白，这个观点足够”炸裂新颖“，但是也确实有迹可循。在这其中，我发现利维坦理论似乎能完美符合我的想法，于是我从初稿开始从这个角度出发，大篇幅重构了我的文章。</w:t>
      </w:r>
    </w:p>
    <w:p w14:paraId="01277E16">
      <w:pPr>
        <w:keepNext w:val="0"/>
        <w:keepLines w:val="0"/>
        <w:widowControl/>
        <w:suppressLineNumbers w:val="0"/>
        <w:jc w:val="both"/>
        <w:rPr>
          <w:rFonts w:hint="eastAsia" w:ascii="黑体" w:hAnsi="黑体" w:eastAsia="黑体" w:cs="黑体"/>
          <w:i w:val="0"/>
          <w:iCs w:val="0"/>
          <w:caps w:val="0"/>
          <w:spacing w:val="0"/>
          <w:kern w:val="0"/>
          <w:sz w:val="20"/>
          <w:szCs w:val="20"/>
          <w:u w:val="none"/>
          <w:lang w:val="en-US" w:eastAsia="zh-CN" w:bidi="ar"/>
        </w:rPr>
      </w:pPr>
      <w:r>
        <w:rPr>
          <w:rFonts w:hint="eastAsia" w:ascii="黑体" w:hAnsi="黑体" w:eastAsia="黑体" w:cs="黑体"/>
          <w:i w:val="0"/>
          <w:iCs w:val="0"/>
          <w:caps w:val="0"/>
          <w:spacing w:val="0"/>
          <w:kern w:val="0"/>
          <w:sz w:val="20"/>
          <w:szCs w:val="20"/>
          <w:u w:val="none"/>
          <w:lang w:val="en-US" w:eastAsia="zh-CN" w:bidi="ar"/>
        </w:rPr>
        <w:t>初稿中以利维坦为铺垫，实际上又掺杂了很多其他的理论。这样专注某一个观点的写法确实比拟稿好了不少；但是仍然地，还是不由自主的讲起了故事，而且理论淹没了论述，显得有些头重脚轻。经过老师的批阅，我明白应该更专注于利维坦这个理论深挖。于是我以此为基础，删去了部分抒情文字，并且重写了很多结构，增加了利维坦理论的论述与说明。在此基础上，我完成了终稿。</w:t>
      </w:r>
    </w:p>
    <w:p w14:paraId="59CA5827">
      <w:pPr>
        <w:keepNext w:val="0"/>
        <w:keepLines w:val="0"/>
        <w:widowControl/>
        <w:suppressLineNumbers w:val="0"/>
        <w:jc w:val="both"/>
        <w:rPr>
          <w:rFonts w:hint="default" w:ascii="黑体" w:hAnsi="黑体" w:eastAsia="黑体" w:cs="黑体"/>
          <w:i w:val="0"/>
          <w:iCs w:val="0"/>
          <w:caps w:val="0"/>
          <w:spacing w:val="0"/>
          <w:kern w:val="0"/>
          <w:sz w:val="20"/>
          <w:szCs w:val="20"/>
          <w:u w:val="none"/>
          <w:lang w:val="en-US" w:eastAsia="zh-CN" w:bidi="ar"/>
        </w:rPr>
      </w:pPr>
      <w:r>
        <w:rPr>
          <w:rFonts w:hint="eastAsia" w:ascii="黑体" w:hAnsi="黑体" w:eastAsia="黑体" w:cs="黑体"/>
          <w:i w:val="0"/>
          <w:iCs w:val="0"/>
          <w:caps w:val="0"/>
          <w:spacing w:val="0"/>
          <w:kern w:val="0"/>
          <w:sz w:val="20"/>
          <w:szCs w:val="20"/>
          <w:u w:val="none"/>
          <w:lang w:val="en-US" w:eastAsia="zh-CN" w:bidi="ar"/>
        </w:rPr>
        <w:t>应该说，终稿依旧不尽人意。由于时间仓促，我没有来得及全面地重构，部分讲故事环节想不到合适替代而被迫保留，很多观点也及其稚嫩，遗憾很多。但是且向前看，一步更比一部好。谢谢老师！</w:t>
      </w:r>
    </w:p>
    <w:p w14:paraId="52246BFB">
      <w:pPr>
        <w:pStyle w:val="6"/>
        <w:rPr>
          <w:rFonts w:hint="eastAsia"/>
        </w:rPr>
      </w:pPr>
    </w:p>
    <w:p w14:paraId="0182AB2E">
      <w:pPr>
        <w:pStyle w:val="7"/>
        <w:rPr>
          <w:rFonts w:hint="eastAsia"/>
        </w:rPr>
      </w:pPr>
    </w:p>
    <w:p w14:paraId="78A1DAFA">
      <w:pPr>
        <w:rPr>
          <w:rFonts w:hint="eastAsia"/>
        </w:rPr>
      </w:pPr>
    </w:p>
    <w:p w14:paraId="3207E316">
      <w:pPr>
        <w:rPr>
          <w:rFonts w:hint="eastAsia"/>
        </w:rPr>
      </w:pPr>
    </w:p>
    <w:p w14:paraId="7A2E7917">
      <w:pPr>
        <w:rPr>
          <w:rFonts w:hint="eastAsia"/>
        </w:rPr>
      </w:pPr>
    </w:p>
    <w:p w14:paraId="1BB17EB6">
      <w:pPr>
        <w:rPr>
          <w:rFonts w:hint="eastAsia"/>
        </w:rPr>
      </w:pPr>
    </w:p>
    <w:p w14:paraId="3B8AFE57">
      <w:pPr>
        <w:rPr>
          <w:rFonts w:hint="eastAsia"/>
        </w:rPr>
      </w:pPr>
      <w:bookmarkStart w:id="4" w:name="_GoBack"/>
      <w:bookmarkEnd w:id="4"/>
    </w:p>
    <w:p w14:paraId="4DDF1085">
      <w:pPr>
        <w:pStyle w:val="6"/>
      </w:pPr>
      <w:r>
        <w:rPr>
          <w:rFonts w:hint="eastAsia"/>
        </w:rPr>
        <w:t>建立在恐怖上的秩序：基于《利维坦》模型探讨乱世中魔法部与食死徒的趋同选择</w:t>
      </w:r>
    </w:p>
    <w:p w14:paraId="5F234FF0">
      <w:pPr>
        <w:pStyle w:val="7"/>
      </w:pPr>
      <w:r>
        <w:rPr>
          <w:rFonts w:hint="eastAsia"/>
        </w:rPr>
        <w:t>郭嘉乐</w:t>
      </w:r>
      <w:r>
        <w:t>　2025013332　gjl25@mails.tsinghua.edu.cn</w:t>
      </w:r>
    </w:p>
    <w:p w14:paraId="1EE56B22">
      <w:r>
        <w:rPr>
          <w:rFonts w:hint="eastAsia"/>
        </w:rPr>
        <w:t>或许每个人第一次翻开哈利·波特，都是被它所描述的如梦如幻的魔法世界所吸引，为其中的精彩故事所着迷。然而美好的幻想总是会随着现实的引力应声落地，即使在魔法世界也不例外——《哈利·波特》系列从第四部开始便逐渐走向“充满黑暗”的成人的世界；随着伏地魔、食死徒们的卷土重来，原本和谐美好的魔法社会逐渐被撕裂、原有的秩序被打破。在这种混乱不堪的非常态社会下，代表着正统秩序的魔法部与代表着黑暗势力的食死徒们却不约而同的选择了同一种统治方法：以极端的高压和建立一定程度的恐怖秩序来震慑底层民众。表面上来看这简直匪夷所思，但实际上他们具有共同的内部逻辑与统治思考。本文将基于《利维坦》的模型框架，深入探讨魔法世界中权力赋权的让渡、异化与契约崩溃的机制性成因。</w:t>
      </w:r>
    </w:p>
    <w:p w14:paraId="1CCBF7B3">
      <w:pPr>
        <w:pStyle w:val="2"/>
      </w:pPr>
      <w:bookmarkStart w:id="0" w:name="古老的魔法社会内核趋同的利维坦式选择"/>
      <w:r>
        <w:rPr>
          <w:rFonts w:hint="eastAsia"/>
        </w:rPr>
        <w:t>古老的魔法社会内核，趋同的利维坦式选择</w:t>
      </w:r>
    </w:p>
    <w:p w14:paraId="4398A46E">
      <w:r>
        <w:rPr>
          <w:rFonts w:hint="eastAsia"/>
        </w:rPr>
        <w:t>利维坦理论由托马斯·霍布斯在十七世纪文艺复兴高潮时期提出，为光荣革命提供了重要理论依据，也奠定了现代政治哲学的基础。在《圣经》中，利维坦是一种巨大海怪，象征着深不可测的混沌、邪恶与人类无法匹敌的自然力量；尽管它极其凶猛，但它依然是上帝所造之物，只有创造它的神才能将其降伏和击杀。霍布斯通过对中世纪欧洲宗教社会的深度剖析，结合这一典故，在社会契约论的基础上提出了一切主权实体形成的原因：在混乱与动荡的原始时代，人们出于对暴力、死亡的原始畏惧和对秩序的渴望，往往会选择出让部分个人权利，达成一种契约，共同构建一个至高无上的主权者，这个主权者是能按照其认为有利于大家的和平和共同防御的方式运用全体力量和手段的一个人格——“利维坦”</w:t>
      </w:r>
      <w:r>
        <w:rPr>
          <w:rStyle w:val="12"/>
        </w:rPr>
        <w:footnoteReference w:id="0"/>
      </w:r>
      <w:r>
        <w:t>。</w:t>
      </w:r>
    </w:p>
    <w:p w14:paraId="3052C9B6">
      <w:r>
        <w:rPr>
          <w:rFonts w:hint="eastAsia"/>
        </w:rPr>
        <w:t>名义上高度集中的魔法正是这样一种利维坦式的权力产物：长期在麻瓜世界被欺压、处于一个接近原始而无序的社会的巫师群体们将自己的权利主动让渡给一部分精英巫师，产生了这样一个权力机关——“巫师议会”（魔法部的前身），祈求这样一个主权者给他们带来稳定与安宁</w:t>
      </w:r>
      <w:r>
        <w:rPr>
          <w:rStyle w:val="12"/>
        </w:rPr>
        <w:footnoteReference w:id="1"/>
      </w:r>
      <w:r>
        <w:rPr>
          <w:rFonts w:hint="eastAsia"/>
        </w:rPr>
        <w:t>。然而，这类极权组织存在一个内在的体制悖论：其存在的合法性完全依赖于对“绝对确定性”的维持。当面临无法透视和掌控的模糊地带时，主权者自身的恐惧就会被激活，进而从秩序的保护者异化为恐惧的生产者，为了维护自身统治秩序进行严格的管控、审查和制裁</w:t>
      </w:r>
      <w:r>
        <w:rPr>
          <w:rStyle w:val="12"/>
        </w:rPr>
        <w:footnoteReference w:id="2"/>
      </w:r>
      <w:r>
        <w:rPr>
          <w:rFonts w:hint="eastAsia"/>
        </w:rPr>
        <w:t>。黑魔法的回归，恰恰就是对这一体制最致命的“不确定性”冲击。</w:t>
      </w:r>
    </w:p>
    <w:p w14:paraId="006D5838">
      <w:r>
        <w:rPr>
          <w:rFonts w:hint="eastAsia"/>
        </w:rPr>
        <w:t>这可以看作是魔法部在黑魔法回归后发展的必然结局。利维坦式机构存在的核心，便在于维持其绝对的确定性以捍卫其地位；它的权力取之于民，而民众让渡权利后有责任使得他的这种行为是有效负责的</w:t>
      </w:r>
      <w:r>
        <w:rPr>
          <w:rStyle w:val="12"/>
        </w:rPr>
        <w:footnoteReference w:id="3"/>
      </w:r>
      <w:r>
        <w:rPr>
          <w:rFonts w:hint="eastAsia"/>
        </w:rPr>
        <w:t>;若民众发现主权者无法对此负责，收回对主权者的信任和让渡与它的权利，那么整个机构必然不复存在</w:t>
      </w:r>
      <w:r>
        <w:rPr>
          <w:rStyle w:val="12"/>
        </w:rPr>
        <w:footnoteReference w:id="4"/>
      </w:r>
      <w:r>
        <w:rPr>
          <w:rFonts w:hint="eastAsia"/>
        </w:rPr>
        <w:t>。邓布利多为部长福吉带来的那条消息正好是这个机构最害怕的黑天鹅：黑魔法归来了。无论真假，回归意味着没有斩尽杀绝，意味着可能更可怕的报复，这一消息远比十几年前更严重动摇了舆论的信心，从而带来了不稳定性，由此破坏了机构的根基。</w:t>
      </w:r>
    </w:p>
    <w:p w14:paraId="202DEBA1">
      <w:r>
        <w:rPr>
          <w:rFonts w:hint="eastAsia"/>
        </w:rPr>
        <w:t>在这种极端危机引发的自我恐惧下，魔法部为了掩盖自身履职能力的失效，开始走向公共权力的极端异化。最典型也是最开始显现的莫过于福吉直接下令用摄魂怪处决小巴蒂·克劳奇这一片段</w:t>
      </w:r>
      <w:r>
        <w:rPr>
          <w:rStyle w:val="12"/>
        </w:rPr>
        <w:footnoteReference w:id="5"/>
      </w:r>
      <w:r>
        <w:rPr>
          <w:rFonts w:hint="eastAsia"/>
        </w:rPr>
        <w:t>。福吉并非不知道他是十恶不赦之人，理应先充分询问来龙去脉、压榨出关键情报后再施以刑罚；但他越过程序法网“果断”处决犯人，本质上是利维坦为了捍卫“伏地魔没有归来”这一绝对确定性的叙事，而对异质信息进行的肉体消灭。此时的魔法部已经异化为恐惧的生产者，他们通过建立高压统治震慑民众，要求臣民放弃一切自由与怀疑，只为维护摇摇欲坠的体制表象。这个诞生于乱世中且从未健康发展的组织，在黑魔法回归的恶性诱因下，已经成长为了不受控制的社会肿瘤。</w:t>
      </w:r>
    </w:p>
    <w:p w14:paraId="07B22F36">
      <w:r>
        <w:rPr>
          <w:rFonts w:hint="eastAsia"/>
        </w:rPr>
        <w:t>从《利维坦》的权力异化机制向后延伸，食死徒的崛起则标志着另一种更为极端的政治危机——它代表了官方主权功能失效后，权力契约彻底崩溃，导致整个社会重新退回弱肉强食的原始“自然状态”后，试图在魔法部造成的权力真空期里，让自己篡位成为第二个至高无上的利维坦；由于其组织自诞生起就天然缺乏利维坦的高度集中性与权力正统性，本质上更符合霍布斯所说的蓄意为恶、掩人耳目、愚弄百姓的邪教组织。</w:t>
      </w:r>
      <w:r>
        <w:rPr>
          <w:rStyle w:val="12"/>
        </w:rPr>
        <w:footnoteReference w:id="6"/>
      </w:r>
      <w:r>
        <w:rPr>
          <w:rFonts w:hint="eastAsia"/>
        </w:rPr>
        <w:t>。因此，比起魔法部，他们其实更加恐惧自身合法性与稳定性的先天不足。为了在社会退回“自然状态”时确立统治，他们必须基于更加虚渺的血统传说编造一个所谓确定性的事实：纯血统至上。为了维护这一虚伪的确定性，他们只能依靠更原始的密探渗透与无差别私刑来掩盖组织的虚弱。正如齐泽克所言：“他们对自己的所作所为一清二楚，但他们依旧坦然为之”</w:t>
      </w:r>
      <w:r>
        <w:rPr>
          <w:rStyle w:val="12"/>
        </w:rPr>
        <w:footnoteReference w:id="7"/>
      </w:r>
      <w:r>
        <w:t>。</w:t>
      </w:r>
    </w:p>
    <w:p w14:paraId="3CA6DFFB">
      <w:r>
        <w:rPr>
          <w:rFonts w:hint="eastAsia"/>
        </w:rPr>
        <w:t>由此，这两个本应处于对立面的组织，在面对“合法性流失”这一共同恐惧时，采取了殊途同归的暴力手段：魔法部作为建制内的公共权力，通过高压监控全面异化；食死徒作为建制外的暴力组织，通过恐怖统治试图篡夺主权。两者的底层逻辑，都是为了在秩序失控的恐慌中，清除一切威胁自身稳定性的“不确定因素”。</w:t>
      </w:r>
    </w:p>
    <w:bookmarkEnd w:id="0"/>
    <w:p w14:paraId="5A100F13">
      <w:pPr>
        <w:pStyle w:val="2"/>
      </w:pPr>
      <w:bookmarkStart w:id="1" w:name="共同的恐怖手段全面的恐怖氛围"/>
      <w:r>
        <w:rPr>
          <w:rFonts w:hint="eastAsia"/>
        </w:rPr>
        <w:t>共同的恐怖手段，全面的恐怖氛围</w:t>
      </w:r>
    </w:p>
    <w:p w14:paraId="40CE4527">
      <w:r>
        <w:rPr>
          <w:rFonts w:hint="eastAsia"/>
        </w:rPr>
        <w:t>由于底层政治恐慌的趋同，魔法部与食死徒在维持高压统治的过程中，展现出了高度一致的技术手段：即全盘监控、告密机制与肉体暴力的三位一体。魔法部与食死徒在手段上的趋同，本质上是主权者（魔法部）通过滥用暴力解构了社会契约，从而导致社会失控，全面退回到了弱肉强食的“自然状态”（食死徒的无序暴政）。</w:t>
      </w:r>
    </w:p>
    <w:p w14:paraId="02FC9268">
      <w:r>
        <w:rPr>
          <w:rFonts w:hint="eastAsia"/>
        </w:rPr>
        <w:t>根据霍布斯的理论，主权者为了防范任何可能导致契约解体的潜在威胁，必然倾向于对社会信息实施基本垄断</w:t>
      </w:r>
      <w:r>
        <w:rPr>
          <w:rStyle w:val="12"/>
        </w:rPr>
        <w:footnoteReference w:id="8"/>
      </w:r>
      <w:r>
        <w:rPr>
          <w:rFonts w:hint="eastAsia"/>
        </w:rPr>
        <w:t>。在黑魔法回归的非常态下，魔法部的“全盘监控”本质上是对公民私人边界的彻底剥夺。乌姆里奇在霍格沃茨建立的“特别调查组”以及对私人通信的拦截，其政治目的并非单纯的治安维持，而是利维坦试图通过消灭公共空间与私人领域的界限，实现对所有“不稳定因素”的透视。</w:t>
      </w:r>
    </w:p>
    <w:p w14:paraId="28100F53">
      <w:r>
        <w:rPr>
          <w:rFonts w:hint="eastAsia"/>
        </w:rPr>
        <w:t>在这之后，登场的是为监控机制补缺口的告密机制：魔法部主动鼓励告密；D.A.最终被告发，不是因为乌姆里奇的外部侦查成功，而正是因为内部成员在社交压力下出卖了组织；“特别调查组”的学生享有特权，告密不再是被动的出卖，而是主动的爬升行为；这种设计将告密行为赋予了荣誉和权力，诱惑学生将同学关系转化为自己爬升的阶梯</w:t>
      </w:r>
      <w:r>
        <w:rPr>
          <w:rStyle w:val="12"/>
        </w:rPr>
        <w:footnoteReference w:id="9"/>
      </w:r>
      <w:r>
        <w:rPr>
          <w:rFonts w:hint="eastAsia"/>
        </w:rPr>
        <w:t>。邓布利多军最终由于内部成员的告发而瓦解，正从事实层面证明了，这种国家机器主导的信任瓦解，成功将原本健康的社会共同体推向了人人自危的防范状态。</w:t>
      </w:r>
    </w:p>
    <w:p w14:paraId="48052FFA">
      <w:r>
        <w:rPr>
          <w:rFonts w:hint="eastAsia"/>
        </w:rPr>
        <w:t>最终，当监控与告密完成情报搜集后，暴力便作为主权者最后的威慑手段堂堂登场。然而，此时魔法部手中的暴力已经脱离了现代法治的约束，退化为法制残缺时期的“酷刑政治”</w:t>
      </w:r>
      <w:r>
        <w:rPr>
          <w:rStyle w:val="12"/>
        </w:rPr>
        <w:footnoteReference w:id="10"/>
      </w:r>
      <w:r>
        <w:rPr>
          <w:rFonts w:hint="eastAsia"/>
        </w:rPr>
        <w:t>。无论是对哈利施加的带有公开羞辱性质的威森加摩审判，还是乌姆里奇利用特制羽毛笔对学生肉体施加的仪式化体罚，其本质都是主权者在合法性焦虑下，试图越过理性的法律改造，直接通过对肉体的摧残来展演利维坦不可挑战的绝对权威。此时的魔法部，早已在全面制造恐怖的恶性循环中，彻底沦为了一个异化的政治肿瘤。</w:t>
      </w:r>
    </w:p>
    <w:p w14:paraId="5414CD6F">
      <w:r>
        <w:rPr>
          <w:rFonts w:hint="eastAsia"/>
        </w:rPr>
        <w:t>由此回到对食死徒恐怖手段的探讨。在霍布斯的政治哲学中，主权者垄断暴力的合法性，恰恰在于其能终结弱肉强食的原始“自然状态”。然而，当魔法部因恐惧秩序失控而逾越法治边界时，其手段便在实质上加速了社会向自然状态的倒退。早在黑魔法第一次来临时，以巴蒂·克劳奇为代表的魔法部强硬派，在未经法律限制的情况下，便直接采用最极端的不可饶恕咒进行肉体毁灭与无差别打击</w:t>
      </w:r>
      <w:r>
        <w:rPr>
          <w:rStyle w:val="12"/>
        </w:rPr>
        <w:footnoteReference w:id="11"/>
      </w:r>
      <w:r>
        <w:rPr>
          <w:rFonts w:hint="eastAsia"/>
        </w:rPr>
        <w:t>，这在暴力性质上与黑魔法势力已无本质区别食死徒所采取的密探渗透、恐吓告密以及大规模动用私刑等手段，看似是体制外的纯粹恶行，实则是在魔法部公共权力失职、主权真空之后，自然状态下“所有人对所有人的战争”的必然</w:t>
      </w:r>
      <w:r>
        <w:rPr>
          <w:rStyle w:val="12"/>
        </w:rPr>
        <w:footnoteReference w:id="12"/>
      </w:r>
      <w:r>
        <w:rPr>
          <w:rFonts w:hint="eastAsia"/>
        </w:rPr>
        <w:t>。魔法部在合法性焦虑下对体制暴力的“仪式化”滥用，不仅没有消灭恐怖，反而以官方的名义为这种暴力开了绿灯，最终使其转化为一套凌驾于底层社会之上的系统性恐怖网络。这种手段的趋同，最终宣告了旧有社会契约的彻底失效。</w:t>
      </w:r>
    </w:p>
    <w:bookmarkEnd w:id="1"/>
    <w:p w14:paraId="002631FF">
      <w:pPr>
        <w:pStyle w:val="2"/>
      </w:pPr>
      <w:bookmarkStart w:id="2" w:name="共同的穷途末路"/>
      <w:r>
        <w:rPr>
          <w:rFonts w:hint="eastAsia"/>
        </w:rPr>
        <w:t>共同的“穷途末路”</w:t>
      </w:r>
    </w:p>
    <w:p w14:paraId="68AFD528">
      <w:r>
        <w:rPr>
          <w:rFonts w:hint="eastAsia"/>
        </w:rPr>
        <w:t>在趋同的目的与手段之下，二者的结局也展现出了历史的必然趋同：旧魔法部与食死徒因共同豢养了“恐惧”，最终一同走向了政治实体的彻底灭亡。从霍布斯契约论的逻辑来看，这种毁灭源于其权力合法性根基的自我吞噬。利维坦式主权机构存在的终极合法性在于终结自然状态、提供绝对的安全；然而，无论是异化的旧魔法部还是暴虐的食死徒，它们都试图通过人为制造恐怖、全盘监控与暴力威慑来强行维持一种虚假的“确定性”。这种高压秩序在本质上并没有消除恐慌，反而使主权者自身成为了全社会最大的恐惧源。当臣民发现这个所谓的保护者不仅无法履行安全契约，反而剥夺了基本的自由与安全时，基于恐惧建立的虚假授权便会彻底破灭，触发权利的最终“撤回”</w:t>
      </w:r>
      <w:r>
        <w:rPr>
          <w:rStyle w:val="12"/>
        </w:rPr>
        <w:footnoteReference w:id="13"/>
      </w:r>
      <w:r>
        <w:t>。</w:t>
      </w:r>
    </w:p>
    <w:p w14:paraId="0920F670">
      <w:r>
        <w:rPr>
          <w:rFonts w:hint="eastAsia"/>
        </w:rPr>
        <w:t>这种合法性契约的彻底崩溃，必然催生出自下而上的自发抵抗。旧魔法部前期的逃避镇压、后期的瘫痪不作为乃至被渗透，本质上造成了严重的公共权力真空；这种主权功能的失职，迫使面临生存危机的巫师群体在“自然状态”中进行自发的互助与重组，从而催生了如邓布利多军以及凤凰社这样的民间抵抗组织。同样，食死徒企图用血统论编造的极端暴政，也由于其天然缺乏主权正统性，不仅无法扑灭霍格沃茨师生心中自发的抵抗火种，反而加速了正义力量的重新凝聚。这两个组织都诞生于对不确定性的自我恐惧，用恐怖来维护假象，最终却由于无法提供真正的秩序而沦为异化的肿瘤，无可避免地被历史自净力量所吞噬。</w:t>
      </w:r>
    </w:p>
    <w:p w14:paraId="4463CEA4">
      <w:r>
        <w:rPr>
          <w:rFonts w:hint="eastAsia"/>
        </w:rPr>
        <w:t>这两股表面上势不两立的死敌，在统治逻辑与技术上面对恐慌时，采取了殊途同归的暴力手段，走向自我解体的必然命运。然而，罗琳并未让她的魔法世界在秩序坍塌的焦土中走向终结。在小说的尾声，金斯莱·沙克尔接任魔法部部长，这一安排并非可有可无的尾声闲笔，而是作者对“公共权力如何在废墟之上走向正轨”这一核心追问的郑重回答。</w:t>
      </w:r>
    </w:p>
    <w:bookmarkEnd w:id="2"/>
    <w:p w14:paraId="670A4481">
      <w:pPr>
        <w:pStyle w:val="2"/>
      </w:pPr>
      <w:bookmarkStart w:id="3" w:name="从利维坦的毁灭到新魔法部的诞生"/>
      <w:r>
        <w:rPr>
          <w:rFonts w:hint="eastAsia"/>
        </w:rPr>
        <w:t>从“利维坦”的毁灭到“新魔法部”的诞生</w:t>
      </w:r>
    </w:p>
    <w:p w14:paraId="533A7F3B">
      <w:r>
        <w:rPr>
          <w:rFonts w:hint="eastAsia"/>
        </w:rPr>
        <w:t>罗琳对金斯莱的刻画着墨不多，但信息量极大。他是傲罗、凤凰社核心成员、参与魔法部保卫战的战士，在所有关键事件中都站在正义的一边。他的就任，传达着作者对暴力机关改革的两个清晰愿景：</w:t>
      </w:r>
    </w:p>
    <w:p w14:paraId="5974B753">
      <w:r>
        <w:rPr>
          <w:rFonts w:hint="eastAsia"/>
        </w:rPr>
        <w:t>其一，暴力机关必须接受外部道德力量的约束。金斯莱始终与邓布利多、凤凰社保持着密切的合作关系，他代表的魔法部不再是那个试图消灭一切“不确定性”、与民间抵抗组织为敌的封闭利维坦，而是一个愿意承认自身局限、与公民社会中的道德力量对话的开放机构。他所领导的魔法部，不再将地下组织视为此消彼长的敌人，而视之为可以与之协作、并受其监督的公共力量的组成部分。</w:t>
      </w:r>
    </w:p>
    <w:p w14:paraId="355EDDDF">
      <w:r>
        <w:rPr>
          <w:rFonts w:hint="eastAsia"/>
        </w:rPr>
        <w:t>其二，暴力本身不是目的，而是通向某种更高价值的暂时手段。金斯莱从未像乌姆里奇那样在暴力中展示个人权威，也从未像伏地魔那样将暴力视为自我价值的体现。他所使用的力量始终服务于正义目标——保护弱者和无辜者、对抗实际的威胁。这意味着，重建后的官方暴力机关必须以“力量服务于正义”作为根本原则，而非将力量本身奉为信仰。</w:t>
      </w:r>
    </w:p>
    <w:p w14:paraId="1C5D7A0D">
      <w:r>
        <w:rPr>
          <w:rFonts w:hint="eastAsia"/>
        </w:rPr>
        <w:t>这种螺旋式的演进模式，并非魔法世界所独有。罗琳对暴力组织的刻画中融入了现代政治演变的丰富隐喻。无论是二十世纪极权主义的崛起与崩溃，还是当代社会中官僚系统对恐怖威胁的过度反应，都在魔法世界的叙事中投下了长长的影子。金斯莱所象征的那种“自下而上的合法化重建”——由一个曾以个体身份选择抵抗的正义行动者，来主导整个系统的改革——或许正是罗琳对现代政治出路的一种想象性投射。</w:t>
      </w:r>
    </w:p>
    <w:p w14:paraId="0E4BD638">
      <w:r>
        <w:rPr>
          <w:rFonts w:hint="eastAsia"/>
        </w:rPr>
        <w:t>必须承认，金斯莱的改革只能被视为一个开放的开端，而非一个完成的答案。魔法部是否能够在制度层面建立起对权力的实质性制约，而不是仅仅依赖部长个人的道德品质？这一追问恰恰触碰到了霍布斯政治哲学中最具争议的核心痛点：即一个拥有暴力垄断权的主权者，如何防止其自身的再度异化？此类问题在小说结尾并未被充分回答，或许也不可能被充分回答——因为作者深刻意识到，关于权力、暴力与秩序的追问，注定是一场没有终点的对话。</w:t>
      </w:r>
    </w:p>
    <w:p w14:paraId="16C4F31D">
      <w:r>
        <w:rPr>
          <w:rFonts w:hint="eastAsia"/>
        </w:rPr>
        <w:t>然而小说毕竟为我们留下了一个明亮而审慎的落点：利维坦式的组织必然因其内在逻辑而走向毁灭。新魔法部的诞生最终证明：人类走出“所有人对所有人的战争”这一原始自然状态的真正出路，绝非依赖于制造恐怖的虚假主权权威，而在于建立一个将垄断暴力彻底降服于正义、理性与法治契约之下的良性共同体。从古老的巫师议会到金斯莱治下的新魔法部，从零散的反抗小组到有组织的凤凰社，魔法世界漫长而崎岖的制度演进，归根结底折射出的，是人们对稳定而和谐的共同生活的朴素追求。这不仅是巫师们的渴望，也是麻瓜们至今仍在寻找的方向。罗琳将这份期望种在了魔法世界里，也种在了每一位读者的心中。前路漫长，但方向已然可辨。</w:t>
      </w:r>
    </w:p>
    <w:bookmarkEnd w:id="3"/>
    <w:sectPr>
      <w:footnotePr>
        <w:numRestart w:val="eachPage"/>
      </w:footnotePr>
      <w:pgSz w:w="11906" w:h="16838"/>
      <w:pgMar w:top="1440" w:right="1800" w:bottom="1440" w:left="180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8">
    <w:p>
      <w:pPr>
        <w:spacing w:line="360" w:lineRule="auto"/>
      </w:pPr>
      <w:r>
        <w:separator/>
      </w:r>
    </w:p>
  </w:footnote>
  <w:footnote w:type="continuationSeparator" w:id="29">
    <w:p>
      <w:pPr>
        <w:spacing w:line="360" w:lineRule="auto"/>
      </w:pPr>
      <w:r>
        <w:continuationSeparator/>
      </w:r>
    </w:p>
  </w:footnote>
  <w:footnote w:id="0">
    <w:p w14:paraId="6FF304D1">
      <w:pPr>
        <w:pStyle w:val="5"/>
      </w:pPr>
      <w:r>
        <w:rPr>
          <w:rStyle w:val="12"/>
        </w:rPr>
        <w:footnoteRef/>
      </w:r>
      <w:r>
        <w:t xml:space="preserve"> </w:t>
      </w:r>
      <w:r>
        <w:rPr>
          <w:rFonts w:hint="eastAsia"/>
        </w:rPr>
        <w:t>霍布斯：《利维坦》，黎思复等译，北京：商务印书馆，2009年，第130页</w:t>
      </w:r>
    </w:p>
  </w:footnote>
  <w:footnote w:id="1">
    <w:p w14:paraId="4EADE5B4">
      <w:pPr>
        <w:pStyle w:val="5"/>
      </w:pPr>
      <w:r>
        <w:rPr>
          <w:rStyle w:val="12"/>
        </w:rPr>
        <w:footnoteRef/>
      </w:r>
      <w:r>
        <w:t xml:space="preserve"> </w:t>
      </w:r>
      <w:r>
        <w:rPr>
          <w:rFonts w:hint="eastAsia"/>
        </w:rPr>
        <w:t>J.K.罗琳：《神奇动物在哪里》，马爱农等译，北京：人民文学出版社，2018年，第24页</w:t>
      </w:r>
    </w:p>
  </w:footnote>
  <w:footnote w:id="2">
    <w:p w14:paraId="143A37E3">
      <w:pPr>
        <w:pStyle w:val="5"/>
      </w:pPr>
      <w:r>
        <w:rPr>
          <w:rStyle w:val="12"/>
        </w:rPr>
        <w:footnoteRef/>
      </w:r>
      <w:r>
        <w:t xml:space="preserve"> </w:t>
      </w:r>
      <w:r>
        <w:rPr>
          <w:rFonts w:hint="eastAsia"/>
        </w:rPr>
        <w:t>霍布斯：《利维坦》，黎思复等译，北京：商务印书馆，2009年，第137页</w:t>
      </w:r>
    </w:p>
  </w:footnote>
  <w:footnote w:id="3">
    <w:p w14:paraId="3D3CAA4E">
      <w:pPr>
        <w:pStyle w:val="5"/>
      </w:pPr>
      <w:r>
        <w:rPr>
          <w:rStyle w:val="12"/>
        </w:rPr>
        <w:footnoteRef/>
      </w:r>
      <w:r>
        <w:t xml:space="preserve"> </w:t>
      </w:r>
      <w:r>
        <w:rPr>
          <w:rFonts w:hint="eastAsia"/>
        </w:rPr>
        <w:t>霍布斯：《利维坦》，黎思复等译，北京：商务印书馆，2009年，第99页</w:t>
      </w:r>
    </w:p>
  </w:footnote>
  <w:footnote w:id="4">
    <w:p w14:paraId="41935CAA">
      <w:pPr>
        <w:pStyle w:val="5"/>
      </w:pPr>
      <w:r>
        <w:rPr>
          <w:rStyle w:val="12"/>
        </w:rPr>
        <w:footnoteRef/>
      </w:r>
      <w:r>
        <w:t xml:space="preserve"> </w:t>
      </w:r>
      <w:r>
        <w:rPr>
          <w:rFonts w:hint="eastAsia"/>
        </w:rPr>
        <w:t>霍布斯：《利维坦》，黎思复等译，北京：商务印书馆，2009年，第140页</w:t>
      </w:r>
    </w:p>
  </w:footnote>
  <w:footnote w:id="5">
    <w:p w14:paraId="581D02EB">
      <w:pPr>
        <w:pStyle w:val="5"/>
      </w:pPr>
      <w:r>
        <w:rPr>
          <w:rStyle w:val="12"/>
        </w:rPr>
        <w:footnoteRef/>
      </w:r>
      <w:r>
        <w:t xml:space="preserve"> </w:t>
      </w:r>
      <w:r>
        <w:rPr>
          <w:rFonts w:hint="eastAsia"/>
        </w:rPr>
        <w:t>J.K.罗琳：《哈利·波特与火焰杯》，马爱新译，北京：人民文学出版社，2015年，第499页</w:t>
      </w:r>
    </w:p>
  </w:footnote>
  <w:footnote w:id="6">
    <w:p w14:paraId="7F77A982">
      <w:pPr>
        <w:pStyle w:val="5"/>
      </w:pPr>
      <w:r>
        <w:rPr>
          <w:rStyle w:val="12"/>
        </w:rPr>
        <w:footnoteRef/>
      </w:r>
      <w:r>
        <w:t xml:space="preserve"> </w:t>
      </w:r>
      <w:r>
        <w:rPr>
          <w:rFonts w:hint="eastAsia"/>
        </w:rPr>
        <w:t>霍布斯：《利维坦》，黎思复等译，北京：商务印书馆，2009年，第11页</w:t>
      </w:r>
    </w:p>
  </w:footnote>
  <w:footnote w:id="7">
    <w:p w14:paraId="25AEBEEF">
      <w:pPr>
        <w:pStyle w:val="5"/>
      </w:pPr>
      <w:r>
        <w:rPr>
          <w:rStyle w:val="12"/>
        </w:rPr>
        <w:footnoteRef/>
      </w:r>
      <w:r>
        <w:t xml:space="preserve"> </w:t>
      </w:r>
      <w:r>
        <w:rPr>
          <w:rFonts w:hint="eastAsia"/>
        </w:rPr>
        <w:t>齐泽克：《意识形态的崇高客体》，季广茂译，北京：中央编译出版社，2014年，第26页</w:t>
      </w:r>
    </w:p>
  </w:footnote>
  <w:footnote w:id="8">
    <w:p w14:paraId="19A4AC8C">
      <w:pPr>
        <w:pStyle w:val="5"/>
      </w:pPr>
      <w:r>
        <w:rPr>
          <w:rStyle w:val="12"/>
        </w:rPr>
        <w:footnoteRef/>
      </w:r>
      <w:r>
        <w:t xml:space="preserve"> </w:t>
      </w:r>
      <w:r>
        <w:rPr>
          <w:rFonts w:hint="eastAsia"/>
        </w:rPr>
        <w:t>霍布斯：《利维坦》，黎思复等译，北京：商务印书馆，2009年，第265页</w:t>
      </w:r>
    </w:p>
  </w:footnote>
  <w:footnote w:id="9">
    <w:p w14:paraId="55A615F2">
      <w:pPr>
        <w:pStyle w:val="5"/>
      </w:pPr>
      <w:r>
        <w:rPr>
          <w:rStyle w:val="12"/>
        </w:rPr>
        <w:footnoteRef/>
      </w:r>
      <w:r>
        <w:t xml:space="preserve"> </w:t>
      </w:r>
      <w:r>
        <w:rPr>
          <w:rFonts w:hint="eastAsia"/>
        </w:rPr>
        <w:t>霍布斯：《利维坦》，黎思复等译，北京：商务印书馆，2009年，第247页</w:t>
      </w:r>
    </w:p>
  </w:footnote>
  <w:footnote w:id="10">
    <w:p w14:paraId="7DC00EDC">
      <w:pPr>
        <w:pStyle w:val="5"/>
      </w:pPr>
      <w:r>
        <w:rPr>
          <w:rStyle w:val="12"/>
        </w:rPr>
        <w:footnoteRef/>
      </w:r>
      <w:r>
        <w:t xml:space="preserve"> </w:t>
      </w:r>
      <w:r>
        <w:rPr>
          <w:rFonts w:hint="eastAsia"/>
        </w:rPr>
        <w:t>米歇尔·福柯：《规训与惩罚》，刘北成等译，北京：生活·读书·新知·三联书店，2012年，第17页</w:t>
      </w:r>
    </w:p>
  </w:footnote>
  <w:footnote w:id="11">
    <w:p w14:paraId="036BCA22">
      <w:pPr>
        <w:pStyle w:val="5"/>
      </w:pPr>
      <w:r>
        <w:rPr>
          <w:rStyle w:val="12"/>
        </w:rPr>
        <w:footnoteRef/>
      </w:r>
      <w:r>
        <w:t xml:space="preserve"> </w:t>
      </w:r>
      <w:r>
        <w:rPr>
          <w:rFonts w:hint="eastAsia"/>
        </w:rPr>
        <w:t>J.K.罗琳：《哈利·波特与火焰杯》，马爱新译，北京：人民文学出版社，2014年，第381页</w:t>
      </w:r>
    </w:p>
  </w:footnote>
  <w:footnote w:id="12">
    <w:p w14:paraId="4E2B4620">
      <w:pPr>
        <w:pStyle w:val="5"/>
      </w:pPr>
      <w:r>
        <w:rPr>
          <w:rStyle w:val="12"/>
        </w:rPr>
        <w:footnoteRef/>
      </w:r>
      <w:r>
        <w:t xml:space="preserve"> </w:t>
      </w:r>
      <w:r>
        <w:rPr>
          <w:rFonts w:hint="eastAsia"/>
        </w:rPr>
        <w:t>霍布斯：《利维坦》，黎思复等译，北京：商务印书馆，2009年，第130页</w:t>
      </w:r>
    </w:p>
  </w:footnote>
  <w:footnote w:id="13">
    <w:p w14:paraId="10E17CE1">
      <w:pPr>
        <w:pStyle w:val="5"/>
      </w:pPr>
      <w:r>
        <w:rPr>
          <w:rStyle w:val="12"/>
        </w:rPr>
        <w:footnoteRef/>
      </w:r>
      <w:r>
        <w:t xml:space="preserve"> </w:t>
      </w:r>
      <w:r>
        <w:rPr>
          <w:rFonts w:hint="eastAsia"/>
        </w:rPr>
        <w:t>霍布斯：《利维坦》，黎思复等译，北京：商务印书馆，2009年，第140页</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Page"/>
    <w:footnote w:id="28"/>
    <w:footnote w:id="29"/>
  </w:footnotePr>
  <w:endnotePr>
    <w:endnote w:id="0"/>
    <w:endnote w:id="1"/>
  </w:endnotePr>
  <w:compat>
    <w:useFELayout/>
    <w:compatSetting w:name="compatibilityMode" w:uri="http://schemas.microsoft.com/office/word" w:val="15"/>
  </w:compat>
  <w:rsids>
    <w:rsidRoot w:val="00000000"/>
    <w:rsid w:val="F6F70B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ind w:firstLine="420"/>
    </w:pPr>
    <w:rPr>
      <w:rFonts w:ascii="Times New Roman" w:hAnsi="Times New Roman" w:eastAsia="宋体" w:cs="Times New Roman"/>
      <w:sz w:val="21"/>
      <w:szCs w:val="21"/>
      <w:lang w:eastAsia="zh-CN"/>
    </w:rPr>
  </w:style>
  <w:style w:type="paragraph" w:styleId="2">
    <w:name w:val="heading 1"/>
    <w:basedOn w:val="1"/>
    <w:next w:val="1"/>
    <w:qFormat/>
    <w:uiPriority w:val="0"/>
    <w:pPr>
      <w:spacing w:line="360" w:lineRule="auto"/>
      <w:ind w:firstLine="0"/>
      <w:jc w:val="center"/>
      <w:outlineLvl w:val="0"/>
    </w:pPr>
    <w:rPr>
      <w:rFonts w:ascii="Arial" w:hAnsi="Arial" w:eastAsia="黑体"/>
      <w:sz w:val="21"/>
      <w:szCs w:val="21"/>
    </w:rPr>
  </w:style>
  <w:style w:type="paragraph" w:styleId="3">
    <w:name w:val="heading 2"/>
    <w:basedOn w:val="1"/>
    <w:next w:val="1"/>
    <w:qFormat/>
    <w:uiPriority w:val="0"/>
    <w:pPr>
      <w:spacing w:line="360" w:lineRule="auto"/>
      <w:ind w:firstLine="0"/>
      <w:jc w:val="center"/>
      <w:outlineLvl w:val="1"/>
    </w:pPr>
    <w:rPr>
      <w:rFonts w:ascii="Arial" w:hAnsi="Arial" w:eastAsia="黑体"/>
      <w:sz w:val="21"/>
      <w:szCs w:val="21"/>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4">
    <w:name w:val="caption"/>
    <w:basedOn w:val="1"/>
    <w:qFormat/>
    <w:uiPriority w:val="0"/>
    <w:pPr>
      <w:spacing w:line="360" w:lineRule="auto"/>
      <w:ind w:firstLine="0"/>
      <w:jc w:val="center"/>
    </w:pPr>
    <w:rPr>
      <w:rFonts w:ascii="Times New Roman" w:hAnsi="Times New Roman" w:eastAsia="宋体"/>
      <w:sz w:val="21"/>
      <w:szCs w:val="21"/>
    </w:rPr>
  </w:style>
  <w:style w:type="paragraph" w:styleId="5">
    <w:name w:val="footnote text"/>
    <w:basedOn w:val="1"/>
    <w:semiHidden/>
    <w:unhideWhenUsed/>
    <w:uiPriority w:val="0"/>
    <w:pPr>
      <w:spacing w:line="240" w:lineRule="auto"/>
      <w:ind w:firstLine="0"/>
    </w:pPr>
    <w:rPr>
      <w:rFonts w:ascii="Times New Roman" w:hAnsi="Times New Roman" w:eastAsia="宋体"/>
      <w:sz w:val="18"/>
      <w:szCs w:val="18"/>
    </w:rPr>
  </w:style>
  <w:style w:type="paragraph" w:styleId="6">
    <w:name w:val="Title"/>
    <w:basedOn w:val="1"/>
    <w:next w:val="7"/>
    <w:qFormat/>
    <w:uiPriority w:val="0"/>
    <w:pPr>
      <w:spacing w:line="360" w:lineRule="auto"/>
      <w:ind w:firstLine="0"/>
      <w:jc w:val="center"/>
    </w:pPr>
    <w:rPr>
      <w:rFonts w:ascii="Arial" w:hAnsi="Arial" w:eastAsia="黑体"/>
      <w:b/>
      <w:sz w:val="28"/>
      <w:szCs w:val="28"/>
    </w:rPr>
  </w:style>
  <w:style w:type="paragraph" w:customStyle="1" w:styleId="7">
    <w:name w:val="Author"/>
    <w:basedOn w:val="1"/>
    <w:next w:val="1"/>
    <w:uiPriority w:val="0"/>
    <w:pPr>
      <w:spacing w:line="360" w:lineRule="auto"/>
      <w:ind w:firstLine="0"/>
      <w:jc w:val="center"/>
    </w:pPr>
    <w:rPr>
      <w:rFonts w:ascii="Times New Roman" w:hAnsi="Times New Roman" w:eastAsia="楷体"/>
      <w:sz w:val="21"/>
      <w:szCs w:val="21"/>
    </w:rPr>
  </w:style>
  <w:style w:type="character" w:styleId="10">
    <w:name w:val="Strong"/>
    <w:qFormat/>
    <w:uiPriority w:val="0"/>
    <w:rPr>
      <w:b/>
      <w:bCs/>
    </w:rPr>
  </w:style>
  <w:style w:type="character" w:styleId="11">
    <w:name w:val="Hyperlink"/>
    <w:unhideWhenUsed/>
    <w:uiPriority w:val="99"/>
    <w:rPr>
      <w:color w:val="0563C1"/>
      <w:u w:val="single"/>
    </w:rPr>
  </w:style>
  <w:style w:type="character" w:styleId="12">
    <w:name w:val="footnote reference"/>
    <w:semiHidden/>
    <w:unhideWhenUsed/>
    <w:uiPriority w:val="0"/>
    <w:rPr>
      <w:vertAlign w:val="superscript"/>
    </w:rPr>
  </w:style>
  <w:style w:type="paragraph" w:customStyle="1" w:styleId="13">
    <w:name w:val="Source Code"/>
    <w:basedOn w:val="1"/>
    <w:uiPriority w:val="0"/>
    <w:pPr>
      <w:wordWrap w:val="0"/>
    </w:pPr>
  </w:style>
  <w:style w:type="character" w:customStyle="1" w:styleId="14">
    <w:name w:val="KeywordTok"/>
    <w:uiPriority w:val="0"/>
    <w:rPr>
      <w:b/>
      <w:color w:val="007020"/>
    </w:rPr>
  </w:style>
  <w:style w:type="character" w:customStyle="1" w:styleId="15">
    <w:name w:val="DataTypeTok"/>
    <w:uiPriority w:val="0"/>
    <w:rPr>
      <w:color w:val="902000"/>
    </w:rPr>
  </w:style>
  <w:style w:type="character" w:customStyle="1" w:styleId="16">
    <w:name w:val="DecValTok"/>
    <w:uiPriority w:val="0"/>
    <w:rPr>
      <w:color w:val="40A070"/>
    </w:rPr>
  </w:style>
  <w:style w:type="character" w:customStyle="1" w:styleId="17">
    <w:name w:val="BaseNTok"/>
    <w:uiPriority w:val="0"/>
    <w:rPr>
      <w:color w:val="40A070"/>
    </w:rPr>
  </w:style>
  <w:style w:type="character" w:customStyle="1" w:styleId="18">
    <w:name w:val="FloatTok"/>
    <w:uiPriority w:val="0"/>
    <w:rPr>
      <w:color w:val="40A070"/>
    </w:rPr>
  </w:style>
  <w:style w:type="character" w:customStyle="1" w:styleId="19">
    <w:name w:val="ConstantTok"/>
    <w:uiPriority w:val="0"/>
    <w:rPr>
      <w:color w:val="880000"/>
    </w:rPr>
  </w:style>
  <w:style w:type="character" w:customStyle="1" w:styleId="20">
    <w:name w:val="CharTok"/>
    <w:uiPriority w:val="0"/>
    <w:rPr>
      <w:color w:val="4070A0"/>
    </w:rPr>
  </w:style>
  <w:style w:type="character" w:customStyle="1" w:styleId="21">
    <w:name w:val="SpecialCharTok"/>
    <w:uiPriority w:val="0"/>
    <w:rPr>
      <w:color w:val="4070A0"/>
    </w:rPr>
  </w:style>
  <w:style w:type="character" w:customStyle="1" w:styleId="22">
    <w:name w:val="StringTok"/>
    <w:uiPriority w:val="0"/>
    <w:rPr>
      <w:color w:val="4070A0"/>
    </w:rPr>
  </w:style>
  <w:style w:type="character" w:customStyle="1" w:styleId="23">
    <w:name w:val="VerbatimStringTok"/>
    <w:uiPriority w:val="0"/>
    <w:rPr>
      <w:color w:val="4070A0"/>
    </w:rPr>
  </w:style>
  <w:style w:type="character" w:customStyle="1" w:styleId="24">
    <w:name w:val="SpecialStringTok"/>
    <w:uiPriority w:val="0"/>
    <w:rPr>
      <w:color w:val="BB6688"/>
    </w:rPr>
  </w:style>
  <w:style w:type="character" w:customStyle="1" w:styleId="25">
    <w:name w:val="ImportTok"/>
    <w:uiPriority w:val="0"/>
    <w:rPr>
      <w:b/>
      <w:color w:val="008000"/>
    </w:rPr>
  </w:style>
  <w:style w:type="character" w:customStyle="1" w:styleId="26">
    <w:name w:val="CommentTok"/>
    <w:uiPriority w:val="0"/>
    <w:rPr>
      <w:i/>
      <w:color w:val="60A0B0"/>
    </w:rPr>
  </w:style>
  <w:style w:type="character" w:customStyle="1" w:styleId="27">
    <w:name w:val="DocumentationTok"/>
    <w:uiPriority w:val="0"/>
    <w:rPr>
      <w:i/>
      <w:color w:val="BA2121"/>
    </w:rPr>
  </w:style>
  <w:style w:type="character" w:customStyle="1" w:styleId="28">
    <w:name w:val="AnnotationTok"/>
    <w:uiPriority w:val="0"/>
    <w:rPr>
      <w:b/>
      <w:i/>
      <w:color w:val="60A0B0"/>
    </w:rPr>
  </w:style>
  <w:style w:type="character" w:customStyle="1" w:styleId="29">
    <w:name w:val="CommentVarTok"/>
    <w:uiPriority w:val="0"/>
    <w:rPr>
      <w:b/>
      <w:i/>
      <w:color w:val="60A0B0"/>
    </w:rPr>
  </w:style>
  <w:style w:type="character" w:customStyle="1" w:styleId="30">
    <w:name w:val="OtherTok"/>
    <w:uiPriority w:val="0"/>
    <w:rPr>
      <w:color w:val="007020"/>
    </w:rPr>
  </w:style>
  <w:style w:type="character" w:customStyle="1" w:styleId="31">
    <w:name w:val="FunctionTok"/>
    <w:uiPriority w:val="0"/>
    <w:rPr>
      <w:color w:val="06287E"/>
    </w:rPr>
  </w:style>
  <w:style w:type="character" w:customStyle="1" w:styleId="32">
    <w:name w:val="VariableTok"/>
    <w:uiPriority w:val="0"/>
    <w:rPr>
      <w:color w:val="19177C"/>
    </w:rPr>
  </w:style>
  <w:style w:type="character" w:customStyle="1" w:styleId="33">
    <w:name w:val="ControlFlowTok"/>
    <w:uiPriority w:val="0"/>
    <w:rPr>
      <w:b/>
      <w:color w:val="007020"/>
    </w:rPr>
  </w:style>
  <w:style w:type="character" w:customStyle="1" w:styleId="34">
    <w:name w:val="OperatorTok"/>
    <w:uiPriority w:val="0"/>
    <w:rPr>
      <w:color w:val="666666"/>
    </w:rPr>
  </w:style>
  <w:style w:type="character" w:customStyle="1" w:styleId="35">
    <w:name w:val="BuiltInTok"/>
    <w:uiPriority w:val="0"/>
    <w:rPr>
      <w:color w:val="008000"/>
    </w:rPr>
  </w:style>
  <w:style w:type="character" w:customStyle="1" w:styleId="36">
    <w:name w:val="ExtensionTok"/>
    <w:uiPriority w:val="0"/>
  </w:style>
  <w:style w:type="character" w:customStyle="1" w:styleId="37">
    <w:name w:val="PreprocessorTok"/>
    <w:uiPriority w:val="0"/>
    <w:rPr>
      <w:color w:val="BC7A00"/>
    </w:rPr>
  </w:style>
  <w:style w:type="character" w:customStyle="1" w:styleId="38">
    <w:name w:val="AttributeTok"/>
    <w:uiPriority w:val="0"/>
    <w:rPr>
      <w:color w:val="7D9029"/>
    </w:rPr>
  </w:style>
  <w:style w:type="character" w:customStyle="1" w:styleId="39">
    <w:name w:val="RegionMarkerTok"/>
    <w:uiPriority w:val="0"/>
  </w:style>
  <w:style w:type="character" w:customStyle="1" w:styleId="40">
    <w:name w:val="InformationTok"/>
    <w:uiPriority w:val="0"/>
    <w:rPr>
      <w:b/>
      <w:i/>
      <w:color w:val="60A0B0"/>
    </w:rPr>
  </w:style>
  <w:style w:type="character" w:customStyle="1" w:styleId="41">
    <w:name w:val="WarningTok"/>
    <w:uiPriority w:val="0"/>
    <w:rPr>
      <w:b/>
      <w:i/>
      <w:color w:val="60A0B0"/>
    </w:rPr>
  </w:style>
  <w:style w:type="character" w:customStyle="1" w:styleId="42">
    <w:name w:val="AlertTok"/>
    <w:uiPriority w:val="0"/>
    <w:rPr>
      <w:b/>
      <w:color w:val="FF0000"/>
    </w:rPr>
  </w:style>
  <w:style w:type="character" w:customStyle="1" w:styleId="43">
    <w:name w:val="ErrorTok"/>
    <w:uiPriority w:val="0"/>
    <w:rPr>
      <w:b/>
      <w:color w:val="FF0000"/>
    </w:rPr>
  </w:style>
  <w:style w:type="character" w:customStyle="1" w:styleId="44">
    <w:name w:val="NormalTok"/>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2026-06-19T23:50:00Z</dcterms:created>
  <dc:creator>郭嘉乐　2025013332　gjl25@mails.tsinghua.edu.cn</dc:creator>
  <cp:lastModifiedBy>st</cp:lastModifiedBy>
  <dcterms:modified xsi:type="dcterms:W3CDTF">2026-06-19T23:50:31Z</dcterms:modified>
  <dc:title>建立在恐怖上的秩序：基于《利维坦》模型探讨乱世中魔法部与食死徒的趋同选择</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C630F3137471DA854765356ADD20442B_42</vt:lpwstr>
  </property>
</Properties>
</file>