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922"/>
        <w:gridCol w:w="8233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922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233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922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市场需求量小</w:t>
            </w:r>
          </w:p>
        </w:tc>
        <w:tc>
          <w:tcPr>
            <w:tcW w:w="8233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大众很少关注舆情分析 一般是公司公关的需求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922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  <w:t>样本截断问题</w:t>
            </w:r>
          </w:p>
        </w:tc>
        <w:tc>
          <w:tcPr>
            <w:tcW w:w="8233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爬虫技术不够成熟,片面收集样本,无法合法获得多个网站的API权限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922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ascii="Calibri" w:hAnsi="Calibri"/>
              </w:rPr>
              <w:t>情绪衡量</w:t>
            </w:r>
            <w:r>
              <w:rPr>
                <w:rFonts w:hint="eastAsia" w:ascii="Calibri" w:hAnsi="Calibri"/>
                <w:lang w:val="en-US" w:eastAsia="zh-CN"/>
              </w:rPr>
              <w:t>有误差</w:t>
            </w:r>
          </w:p>
        </w:tc>
        <w:tc>
          <w:tcPr>
            <w:tcW w:w="8233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情绪的复杂性和汉语的语义模糊性，即使是引入强大的机器学习技术，对情绪分词处理仍存在一定的困难。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922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233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资金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2A161FA3"/>
    <w:rsid w:val="76E0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styleId="5">
    <w:name w:val="Strong"/>
    <w:basedOn w:val="4"/>
    <w:qFormat/>
    <w:uiPriority w:val="22"/>
    <w:rPr>
      <w:b/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20</TotalTime>
  <ScaleCrop>false</ScaleCrop>
  <LinksUpToDate>false</LinksUpToDate>
  <CharactersWithSpaces>261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坤</cp:lastModifiedBy>
  <dcterms:modified xsi:type="dcterms:W3CDTF">2020-11-18T08:36:01Z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