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散热行业战略与投资研究报告</w:t>
      </w:r>
    </w:p>
    <w:p>
      <w:pPr>
        <w:pStyle w:val="Subtitle"/>
      </w:pPr>
      <w:r>
        <w:t>AI服务器与数据中心液冷产业链</w:t>
      </w:r>
    </w:p>
    <w:p>
      <w:r>
        <w:t>研究基准日  2026年10月28日    |    展望期  2026年至2030年</w:t>
      </w:r>
    </w:p>
    <w:p>
      <w:r>
        <w:t>适用读者  战略部门与投资部门    |    研究重点  中国供应链及全球技术需求</w:t>
      </w:r>
    </w:p>
    <w:p>
      <w:pPr>
        <w:pStyle w:val="Heading2"/>
      </w:pPr>
      <w:r>
        <w:t>核心判断</w:t>
      </w:r>
    </w:p>
    <w:p>
      <w:r>
        <w:t>高密度AI设备使散热从部件选型问题延伸到整机架与设施协同问题。液冷具备明确的产业研究价值，但供应商的认证、量产、交付、验收和回款共同决定投资价值。建议优先研究与实际平台采购绑定的冷板、流体连接与分配、CDU控制及系统调试能力。</w:t>
      </w:r>
    </w:p>
    <w:tbl>
      <w:tblPr>
        <w:tblW w:type="auto" w:w="0"/>
        <w:jc w:val="center"/>
        <w:tblLayout w:type="fixed"/>
        <w:tblLook w:firstColumn="1" w:firstRow="1" w:lastColumn="0" w:lastRow="0" w:noHBand="0" w:noVBand="1" w:val="04A0"/>
      </w:tblPr>
      <w:tblGrid>
        <w:gridCol w:w="3402"/>
        <w:gridCol w:w="1701"/>
        <w:gridCol w:w="4535"/>
      </w:tblGrid>
      <w:tr>
        <w:trPr>
          <w:tblHeader/>
          <w:cantSplit/>
          <w:cantSplit/>
          <w:cantSplit/>
        </w:trPr>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判断</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证据强度</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决策含义</w:t>
            </w:r>
          </w:p>
        </w:tc>
      </w:tr>
      <w:tr>
        <w:trPr>
          <w:cantSplit/>
          <w:cantSplit/>
          <w:cantSplit/>
        </w:trPr>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高密度算力推动液冷需求</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较强</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以平台配置和实际投产验证需求</w:t>
            </w:r>
          </w:p>
        </w:tc>
      </w:tr>
      <w:tr>
        <w:trPr>
          <w:cantSplit/>
          <w:cantSplit/>
          <w:cantSplit/>
        </w:trPr>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温水液冷改变设施设备组合</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中等偏强</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按气候和供液条件评估受益环节</w:t>
            </w:r>
          </w:p>
        </w:tc>
      </w:tr>
      <w:tr>
        <w:trPr>
          <w:cantSplit/>
          <w:cantSplit/>
          <w:cantSplit/>
        </w:trPr>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收入增长未必带来利润增长</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较强</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将毛利和现金流纳入筛选</w:t>
            </w:r>
          </w:p>
        </w:tc>
      </w:tr>
      <w:tr>
        <w:trPr>
          <w:cantSplit/>
          <w:cantSplit/>
          <w:cantSplit/>
        </w:trPr>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国内供应商长期份额与壁垒</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待补证</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采购和跨代重复订单决定评价</w:t>
            </w:r>
          </w:p>
        </w:tc>
      </w:tr>
    </w:tbl>
    <w:p/>
    <w:p>
      <w:pPr>
        <w:pStyle w:val="Heading2"/>
      </w:pPr>
      <w:r>
        <w:t>主要依据</w:t>
      </w:r>
    </w:p>
    <w:p>
      <w:r>
        <w:t>IEA在2026年报告中预计，全球数据中心用电量由2025年的485 TWh增至2030年的950 TWh，同时指出供应链约束会影响落地节奏。该预测支持需求方向，不等同于散热设备市场规模。[1]</w:t>
      </w:r>
    </w:p>
    <w:p>
      <w:r>
        <w:t>NVIDIA的Vera Rubin技术资料描述45℃入口温水设计及可全液冷的MGX机架。技术路线正覆盖机架内更多热源，研究需从GPU冷板扩展至整机架回路。[2]</w:t>
      </w:r>
    </w:p>
    <w:p>
      <w:pPr>
        <w:pStyle w:val="Heading2"/>
      </w:pPr>
      <w:r>
        <w:t>研究口径</w:t>
      </w:r>
    </w:p>
    <w:p>
      <w:r>
        <w:t>事实指原始公开披露；判断指依据事实形成的推论；情景指用于检验经济关系的假设。本报告支持研究优先级与尽调安排，不构成具体证券买入评级。企业财务比较采用已核验期间，并非完整三季报扫描。</w:t>
      </w:r>
    </w:p>
    <w:p>
      <w:r>
        <w:br w:type="page"/>
      </w:r>
    </w:p>
    <w:p>
      <w:pPr>
        <w:pStyle w:val="Heading1"/>
      </w:pPr>
      <w:r>
        <w:t>一 产业边界与价值分配</w:t>
      </w:r>
    </w:p>
    <w:p>
      <w:r>
        <w:t>主线为AI服务器与数据中心散热。消费电子、汽车和储能的热管理另行建模，不能直接共享渗透率、单机价值和估值逻辑。</w:t>
      </w:r>
    </w:p>
    <w:p>
      <w:pPr>
        <w:pStyle w:val="Heading2"/>
      </w:pPr>
      <w:r>
        <w:t>沿热量路径识别瓶颈</w:t>
      </w:r>
    </w:p>
    <w:p>
      <w:r>
        <w:t>芯片与热源 → 导热界面 → 吸热部件 → 管路与连接 → 循环及换热 → 设施侧排热 → 室外环境。CDU是冷却液分配单元，承担循环、控制及换热等功能；热量仍需由设施系统排向环境。</w:t>
      </w:r>
    </w:p>
    <w:tbl>
      <w:tblPr>
        <w:tblW w:type="auto" w:w="0"/>
        <w:jc w:val="center"/>
        <w:tblLayout w:type="fixed"/>
        <w:tblLook w:firstColumn="1" w:firstRow="1" w:lastColumn="0" w:lastRow="0" w:noHBand="0" w:noVBand="1" w:val="04A0"/>
      </w:tblPr>
      <w:tblGrid>
        <w:gridCol w:w="1814"/>
        <w:gridCol w:w="3402"/>
        <w:gridCol w:w="4422"/>
      </w:tblGrid>
      <w:tr>
        <w:trPr>
          <w:tblHeader/>
          <w:cantSplit/>
          <w:cantSplit/>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环节</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客户关注指标</w:t>
            </w:r>
          </w:p>
        </w:tc>
        <w:tc>
          <w:tcPr>
            <w:tcW w:type="dxa" w:w="44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应验证的能力</w:t>
            </w:r>
          </w:p>
        </w:tc>
      </w:tr>
      <w:tr>
        <w:trPr>
          <w:cantSplit/>
          <w:cantSplit/>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导热界面</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热阻与长期接触稳定性</w:t>
            </w:r>
          </w:p>
        </w:tc>
        <w:tc>
          <w:tcPr>
            <w:tcW w:type="dxa" w:w="44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装配一致性与可靠性</w:t>
            </w:r>
          </w:p>
        </w:tc>
      </w:tr>
      <w:tr>
        <w:trPr>
          <w:cantSplit/>
          <w:cantSplit/>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冷板</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热点温度、压降、泵功</w:t>
            </w:r>
          </w:p>
        </w:tc>
        <w:tc>
          <w:tcPr>
            <w:tcW w:type="dxa" w:w="44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流道、加工、焊接及洁净度</w:t>
            </w:r>
          </w:p>
        </w:tc>
      </w:tr>
      <w:tr>
        <w:trPr>
          <w:cantSplit/>
          <w:cantSplit/>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快接与歧管</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密封、插拔和流量均匀性</w:t>
            </w:r>
          </w:p>
        </w:tc>
        <w:tc>
          <w:tcPr>
            <w:tcW w:type="dxa" w:w="44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寿命、互操作性与批次一致性</w:t>
            </w:r>
          </w:p>
        </w:tc>
      </w:tr>
      <w:tr>
        <w:trPr>
          <w:cantSplit/>
          <w:cantSplit/>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CDU与控制</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换热、冗余、故障响应</w:t>
            </w:r>
          </w:p>
        </w:tc>
        <w:tc>
          <w:tcPr>
            <w:tcW w:type="dxa" w:w="44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控制策略、系统可靠性与服务</w:t>
            </w:r>
          </w:p>
        </w:tc>
      </w:tr>
      <w:tr>
        <w:trPr>
          <w:cantSplit/>
          <w:cantSplit/>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设施排热</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全年可用性与能水成本</w:t>
            </w:r>
          </w:p>
        </w:tc>
        <w:tc>
          <w:tcPr>
            <w:tcW w:type="dxa" w:w="44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气候适配与工程集成</w:t>
            </w:r>
          </w:p>
        </w:tc>
      </w:tr>
      <w:tr>
        <w:trPr>
          <w:cantSplit/>
          <w:cantSplit/>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交付及运维</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上线速度与可用率</w:t>
            </w:r>
          </w:p>
        </w:tc>
        <w:tc>
          <w:tcPr>
            <w:tcW w:type="dxa" w:w="44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调试、维修及责任闭环</w:t>
            </w:r>
          </w:p>
        </w:tc>
      </w:tr>
    </w:tbl>
    <w:p/>
    <w:p>
      <w:pPr>
        <w:pStyle w:val="Heading2"/>
      </w:pPr>
      <w:r>
        <w:t>利润归属的判断</w:t>
      </w:r>
    </w:p>
    <w:p>
      <w:r>
        <w:t>优先考察客户替换供应商需要承担的重新测试、停机和质量责任成本，以及供应商持续量产的能力。专利数量、展会样品和生态成员身份只能提供线索，无法单独证明议价权。</w:t>
      </w:r>
    </w:p>
    <w:p>
      <w:r>
        <w:t>OCP公开项目覆盖冷板、管路、歧管、快接和CDU，并推进冷却液及接口规范。标准化可能扩大可服务市场，也可能提高替换便利性。对单一企业利润率的净影响仍需采购价格和份额验证。[3]</w:t>
      </w:r>
    </w:p>
    <w:p>
      <w:pPr>
        <w:pStyle w:val="Heading2"/>
      </w:pPr>
      <w:r>
        <w:t>专家应额外开展的工作</w:t>
      </w:r>
    </w:p>
    <w:p>
      <w:r>
        <w:t>建立可证伪假设；调查未采用方案的客户与失败案例；把送样、准入、定点、订单、验收和回款分开；从预测收入反推项目需求、产能与份额；检查质保和停机责任。上述工作把技术叙述连接到商业结果。</w:t>
      </w:r>
    </w:p>
    <w:p>
      <w:r>
        <w:br w:type="page"/>
      </w:r>
    </w:p>
    <w:p>
      <w:pPr>
        <w:pStyle w:val="Heading1"/>
      </w:pPr>
      <w:r>
        <w:t>二 技术路线与工程约束</w:t>
      </w:r>
    </w:p>
    <w:tbl>
      <w:tblPr>
        <w:tblW w:type="auto" w:w="0"/>
        <w:jc w:val="center"/>
        <w:tblLayout w:type="fixed"/>
        <w:tblLook w:firstColumn="1" w:firstRow="1" w:lastColumn="0" w:lastRow="0" w:noHBand="0" w:noVBand="1" w:val="04A0"/>
      </w:tblPr>
      <w:tblGrid>
        <w:gridCol w:w="1984"/>
        <w:gridCol w:w="3118"/>
        <w:gridCol w:w="4535"/>
      </w:tblGrid>
      <w:tr>
        <w:trPr>
          <w:tblHeader/>
          <w:cantSplit/>
          <w:cantSplit/>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路线</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研究定位</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关键约束</w:t>
            </w:r>
          </w:p>
        </w:tc>
      </w:tr>
      <w:tr>
        <w:trPr>
          <w:cantSplit/>
          <w:cantSplit/>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风冷及热管均热板</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适配负载与存量系统</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热点、噪声、风扇功耗与空间</w:t>
            </w:r>
          </w:p>
        </w:tc>
      </w:tr>
      <w:tr>
        <w:trPr>
          <w:cantSplit/>
          <w:cantSplit/>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单相冷板液冷</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高密度AI平台研究主线</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泄漏、腐蚀、堵塞、流量分配</w:t>
            </w:r>
          </w:p>
        </w:tc>
      </w:tr>
      <w:tr>
        <w:trPr>
          <w:cantSplit/>
          <w:cantSplit/>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液气或后门换热</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存量改造候选</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设施余量、施工和残余空气散热</w:t>
            </w:r>
          </w:p>
        </w:tc>
      </w:tr>
      <w:tr>
        <w:trPr>
          <w:cantSplit/>
          <w:cantSplit/>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浸没式液冷</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按适配场景逐项验证</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材料、维护、兼容和质保</w:t>
            </w:r>
          </w:p>
        </w:tc>
      </w:tr>
      <w:tr>
        <w:trPr>
          <w:cantSplit/>
          <w:cantSplit/>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两相及强化换热</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保留技术跟踪</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稳定性、工质、寿命和量产成本</w:t>
            </w:r>
          </w:p>
        </w:tc>
      </w:tr>
    </w:tbl>
    <w:p/>
    <w:p>
      <w:pPr>
        <w:pStyle w:val="Heading2"/>
      </w:pPr>
      <w:r>
        <w:t>温水液冷带来的设备变化</w:t>
      </w:r>
    </w:p>
    <w:p>
      <w:r>
        <w:t>NVIDIA描述了在合适气候下以干冷器和闭式回路降低压缩机制冷需求的场景。[2] 施耐德面向Vera Rubin的参考设计采用CDU及带绝热辅助的流体冷却器。[4] 因此，温水方案是否能取消冷机，应按气象、供液要求、换热温差和冗余逐项目计算。</w:t>
      </w:r>
    </w:p>
    <w:p>
      <w:r>
        <w:t>台达公开展示3 MW级CDU。[5] 额定容量只能证明产品规格声明；研究还需比较额定工况、部分负载效率、换热温差、占地、维护和冗余，不能按容量大小直接排序。</w:t>
      </w:r>
    </w:p>
    <w:p>
      <w:pPr>
        <w:pStyle w:val="Heading2"/>
      </w:pPr>
      <w:r>
        <w:t>可复算的热平衡检验</w:t>
      </w:r>
    </w:p>
    <w:p>
      <w:r>
        <w:t>液体带走热量可按 Q＝质量流量×比热容×进出口温差 估算。假设水回路热负荷100 kW、温升10℃，取比热容4.18 kJ/(kg·K)，则质量流量约2.39 kg/s；按约1 kg/L折算，体积流量约143 L/min。</w:t>
      </w:r>
    </w:p>
    <w:p>
      <w:r>
        <w:t>这是物理口径检查，无法证明热点温度合格。实际还要使用对应温度和浓度的工质物性，并核对支路分配、压降及泵功。</w:t>
      </w:r>
    </w:p>
    <w:p>
      <w:pPr>
        <w:pStyle w:val="Heading2"/>
      </w:pPr>
      <w:r>
        <w:t>测试应同时控制的条件</w:t>
      </w:r>
    </w:p>
    <w:p>
      <w:r>
        <w:t>比较样品时统一热源面积、功率分布、入口温度、环境、接触界面与装配方式。热阻—流量曲线需与压降—流量曲线并列；同流量和同泵功两种比较回答不同问题。记录传感器校准、重复性和测量不确定度。</w:t>
      </w:r>
    </w:p>
    <w:p>
      <w:r>
        <w:br w:type="page"/>
      </w:r>
    </w:p>
    <w:p>
      <w:pPr>
        <w:pStyle w:val="Heading1"/>
      </w:pPr>
      <w:r>
        <w:t>三 市场模型与客户经济性</w:t>
      </w:r>
    </w:p>
    <w:p>
      <w:pPr>
        <w:pStyle w:val="Heading2"/>
      </w:pPr>
      <w:r>
        <w:t>按项目建模并消除重复计算</w:t>
      </w:r>
    </w:p>
    <w:p>
      <w:r>
        <w:t>项目采购额＝各配置实际采购数量×对应成交单价。市场空间＝新建采购＋存量改造＋更换维护。企业收入按其承担的合同范围、份额及履约确认节奏计算，不将整个系统价值归给单个部件商。</w:t>
      </w:r>
    </w:p>
    <w:tbl>
      <w:tblPr>
        <w:tblW w:type="auto" w:w="0"/>
        <w:jc w:val="center"/>
        <w:tblLayout w:type="fixed"/>
        <w:tblLook w:firstColumn="1" w:firstRow="1" w:lastColumn="0" w:lastRow="0" w:noHBand="0" w:noVBand="1" w:val="04A0"/>
      </w:tblPr>
      <w:tblGrid>
        <w:gridCol w:w="1701"/>
        <w:gridCol w:w="3402"/>
        <w:gridCol w:w="4535"/>
      </w:tblGrid>
      <w:tr>
        <w:trPr>
          <w:tblHeade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模型输入</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应取口径</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常见误差</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容量与负荷</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IT容量及液体承担热负荷</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用园区总功率替代IT功率</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采购年份</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招采及实际交付年度</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用投产年份替代全部采购年份</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价格</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同配置成交价及合同范围</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混用报价、部件价和整套系统价</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采用比例</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按平台和项目分组</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给所有机架统一液冷渗透率</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收入边界</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最终客户支出或各层增加值</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供应链部件与整套系统重复加总</w:t>
            </w:r>
          </w:p>
        </w:tc>
      </w:tr>
    </w:tbl>
    <w:p/>
    <w:p>
      <w:pPr>
        <w:pStyle w:val="Heading2"/>
      </w:pPr>
      <w:r>
        <w:t>同等任务下的节电情景</w:t>
      </w:r>
    </w:p>
    <w:p>
      <w:r>
        <w:t>假设两个方案完成相同任务，IT平均功率均为10 MW，全年运行8,760小时，PUE分别为1.30和1.15。年节电量为10×8,760×0.15＝13,140 MWh，即1,314万kWh。若电价0.70元/kWh，年电费节约约919.8万元。所有输入均为假设。</w:t>
      </w:r>
    </w:p>
    <w:p>
      <w:r>
        <w:t>若增量初始投资为2,000万元，仅计上述电费节约，静态回收期约2.17年。这是演算，未计维护、水、工质、更换、停机、税及资金时间价值。真实项目必须纳入这些项目后计算净现值。</w:t>
      </w:r>
    </w:p>
    <w:p>
      <w:pPr>
        <w:pStyle w:val="Heading2"/>
      </w:pPr>
      <w:r>
        <w:t>敏感性与判断边界</w:t>
      </w:r>
    </w:p>
    <w:p>
      <w:r>
        <w:t>在其他假设不变时，PUE差值每变化0.01，年电费节约约变化61.32万元；电价每变化0.10元/kWh，年节约约变化131.4万元。机架利用率、计算产出和IT能耗若不同，应重新建模。</w:t>
      </w:r>
    </w:p>
    <w:p>
      <w:r>
        <w:t>PUE是设施总能耗与IT能耗的比值，不能单独证明同等任务总能耗更低。[6] 受电力或空间约束的客户还可能获得更多有效算力，但收益必须用真实工作负载和利用率验证。缺少项目清单和成交样本前，不给出绝对市场规模点估计。</w:t>
      </w:r>
    </w:p>
    <w:p>
      <w:r>
        <w:br w:type="page"/>
      </w:r>
    </w:p>
    <w:p>
      <w:pPr>
        <w:pStyle w:val="Heading1"/>
      </w:pPr>
      <w:r>
        <w:t>四 企业样本与投资筛选</w:t>
      </w:r>
    </w:p>
    <w:p>
      <w:r>
        <w:t>国内样本为2026年上半年，Vertiv为2026年第二季度。期间、会计口径和业务结构不同，表中数字只用于识别经营兑现问题。</w:t>
      </w:r>
    </w:p>
    <w:tbl>
      <w:tblPr>
        <w:tblW w:type="auto" w:w="0"/>
        <w:jc w:val="center"/>
        <w:tblLayout w:type="fixed"/>
        <w:tblLook w:firstColumn="1" w:firstRow="1" w:lastColumn="0" w:lastRow="0" w:noHBand="0" w:noVBand="1" w:val="04A0"/>
      </w:tblPr>
      <w:tblGrid>
        <w:gridCol w:w="1928"/>
        <w:gridCol w:w="5102"/>
        <w:gridCol w:w="2608"/>
      </w:tblGrid>
      <w:tr>
        <w:trPr>
          <w:tblHeader/>
          <w:cantSplit/>
          <w:cantSplit/>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样本</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收入及利润</w:t>
            </w:r>
          </w:p>
        </w:tc>
        <w:tc>
          <w:tcPr>
            <w:tcW w:type="dxa" w:w="2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经营现金流</w:t>
            </w:r>
          </w:p>
        </w:tc>
      </w:tr>
      <w:tr>
        <w:trPr>
          <w:cantSplit/>
          <w:cantSplit/>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英维克 2026H1</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收入30.17亿元 同比＋17.24%</w:t>
              <w:br/>
              <w:t>归母净利润1.85亿元 同比－14.32%</w:t>
            </w:r>
          </w:p>
        </w:tc>
        <w:tc>
          <w:tcPr>
            <w:tcW w:type="dxa" w:w="2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0.62亿元</w:t>
            </w:r>
          </w:p>
        </w:tc>
      </w:tr>
      <w:tr>
        <w:trPr>
          <w:cantSplit/>
          <w:cantSplit/>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申菱环境 2026H1</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收入17.56亿元 同比＋4.39%</w:t>
              <w:br/>
              <w:t>归母净利润0.54亿元 同比－64.07%</w:t>
            </w:r>
          </w:p>
        </w:tc>
        <w:tc>
          <w:tcPr>
            <w:tcW w:type="dxa" w:w="2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－5.54亿元</w:t>
            </w:r>
          </w:p>
        </w:tc>
      </w:tr>
      <w:tr>
        <w:trPr>
          <w:cantSplit/>
          <w:cantSplit/>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Vertiv 2026Q2</w:t>
            </w:r>
          </w:p>
        </w:tc>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销售额32.74亿美元 同比＋24%</w:t>
              <w:br/>
              <w:t>调整后营业利润率22.6%</w:t>
            </w:r>
          </w:p>
        </w:tc>
        <w:tc>
          <w:tcPr>
            <w:tcW w:type="dxa" w:w="2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11亿美元</w:t>
            </w:r>
          </w:p>
        </w:tc>
      </w:tr>
    </w:tbl>
    <w:p/>
    <w:p>
      <w:r>
        <w:t>来源为英维克半年报第7页、申菱环境半年报摘要第1至2页及Vertiv第二季度原始业绩披露。[7][8][9] 金额按原始值四舍五入。</w:t>
      </w:r>
    </w:p>
    <w:p>
      <w:pPr>
        <w:pStyle w:val="Heading2"/>
      </w:pPr>
      <w:r>
        <w:t>可以得出与不能得出的结论</w:t>
      </w:r>
    </w:p>
    <w:p>
      <w:r>
        <w:t>样本支持收入、利润和现金流可能分化。它们不能单独说明液冷分部盈利变化，也不能证明利润变化由液冷引起。应进一步核查业务结构、费用、验收、营运资金和质保成本。</w:t>
      </w:r>
    </w:p>
    <w:p>
      <w:r>
        <w:t>国内样本不宜仅凭短期利润下降被排除，也不宜凭行业景气忽略资金占用。Vertiv的集团业绩不能直接作为中国部件企业利润率目标。</w:t>
      </w:r>
    </w:p>
    <w:p>
      <w:pPr>
        <w:pStyle w:val="Heading2"/>
      </w:pPr>
      <w:r>
        <w:t>按证据完成企业分组</w:t>
      </w:r>
    </w:p>
    <w:tbl>
      <w:tblPr>
        <w:tblW w:type="auto" w:w="0"/>
        <w:jc w:val="center"/>
        <w:tblLayout w:type="fixed"/>
        <w:tblLook w:firstColumn="1" w:firstRow="1" w:lastColumn="0" w:lastRow="0" w:noHBand="0" w:noVBand="1" w:val="04A0"/>
      </w:tblPr>
      <w:tblGrid>
        <w:gridCol w:w="1928"/>
        <w:gridCol w:w="4535"/>
        <w:gridCol w:w="3175"/>
      </w:tblGrid>
      <w:tr>
        <w:trPr>
          <w:tblHeader/>
          <w:cantSplit/>
          <w:cantSplit/>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分组</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最低证据要求</w:t>
            </w:r>
          </w:p>
        </w:tc>
        <w:tc>
          <w:tcPr>
            <w:tcW w:type="dxa" w:w="317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研究动作</w:t>
            </w:r>
          </w:p>
        </w:tc>
      </w:tr>
      <w:tr>
        <w:trPr>
          <w:cantSplit/>
          <w:cantSplit/>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量产与现金验证</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重复交付、合理毛利和回款</w:t>
            </w:r>
          </w:p>
        </w:tc>
        <w:tc>
          <w:tcPr>
            <w:tcW w:type="dxa" w:w="317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继续估值及压力测试</w:t>
            </w:r>
          </w:p>
        </w:tc>
      </w:tr>
      <w:tr>
        <w:trPr>
          <w:cantSplit/>
          <w:cantSplit/>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订单待兑现</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合同明确但验收或回款待完成</w:t>
            </w:r>
          </w:p>
        </w:tc>
        <w:tc>
          <w:tcPr>
            <w:tcW w:type="dxa" w:w="317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逐项目跟踪履约及资金</w:t>
            </w:r>
          </w:p>
        </w:tc>
      </w:tr>
      <w:tr>
        <w:trPr>
          <w:cantSplit/>
          <w:cantSplit/>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产品或认证阶段</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样品、准入或生态披露</w:t>
            </w:r>
          </w:p>
        </w:tc>
        <w:tc>
          <w:tcPr>
            <w:tcW w:type="dxa" w:w="317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先验证采购与量产能力</w:t>
            </w:r>
          </w:p>
        </w:tc>
      </w:tr>
    </w:tbl>
    <w:p/>
    <w:p>
      <w:r>
        <w:t>投资排序还需要核验当前价格、股本、净债务及液冷分项利润。当前证据支持尽调优先级，不支持确定买入名单或目标价。</w:t>
      </w:r>
    </w:p>
    <w:p>
      <w:r>
        <w:br w:type="page"/>
      </w:r>
    </w:p>
    <w:p>
      <w:pPr>
        <w:pStyle w:val="Heading1"/>
      </w:pPr>
      <w:r>
        <w:t>五 原始素材与研究执行方法</w:t>
      </w:r>
    </w:p>
    <w:p>
      <w:r>
        <w:t>一手素材应直接来自设备、交易和当事人。企业披露属于重要一手陈述，但不是无偏的第三方验证；同一企业材料被多家机构引用仍只有一个来源。</w:t>
      </w:r>
    </w:p>
    <w:tbl>
      <w:tblPr>
        <w:tblW w:type="auto" w:w="0"/>
        <w:jc w:val="center"/>
        <w:tblLayout w:type="fixed"/>
        <w:tblLook w:firstColumn="1" w:firstRow="1" w:lastColumn="0" w:lastRow="0" w:noHBand="0" w:noVBand="1" w:val="04A0"/>
      </w:tblPr>
      <w:tblGrid>
        <w:gridCol w:w="1701"/>
        <w:gridCol w:w="4252"/>
        <w:gridCol w:w="3685"/>
      </w:tblGrid>
      <w:tr>
        <w:trPr>
          <w:tblHeade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研究问题</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原始素材</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方法及工具</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实际需求</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招标、采购、供电、施工和验收记录</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项目队列与时间轴 Excel或Python</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技术性能</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测试日志、样品编号、工况及校准</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热平衡与对比实验 Python或R</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长期可靠</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寿命测试、故障件、维修及运行小时</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FMEA、故障树和失效分析</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量产与成本</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BOM、工艺、批次良率和返工</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工艺成本还原及统计过程分析</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商业兑现</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订单、发货、验收、发票和回款</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按项目穿透核对</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客户经济性</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电水表、气象、负载和维护记录</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归一化TCO与净现值</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竞争壁垒</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替换记录、竞品报价和认证反馈</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切换成本及反事实分析</w:t>
            </w:r>
          </w:p>
        </w:tc>
      </w:tr>
    </w:tbl>
    <w:p/>
    <w:p>
      <w:pPr>
        <w:pStyle w:val="Heading2"/>
      </w:pPr>
      <w:r>
        <w:t>工程方法与专业工具</w:t>
      </w:r>
    </w:p>
    <w:p>
      <w:r>
        <w:t>必要时使用Icepak、Fluent、Flotherm或COMSOL进行热流体分析，并用实测校准边界条件。DOE用于识别设计参数；热电偶、差压计、流量计和功率分析仪用于采集可追溯数据。本次未运行工程仿真或实验。</w:t>
      </w:r>
    </w:p>
    <w:p>
      <w:pPr>
        <w:pStyle w:val="Heading2"/>
      </w:pPr>
      <w:r>
        <w:t>访谈需覆盖的岗位</w:t>
      </w:r>
    </w:p>
    <w:p>
      <w:r>
        <w:t>客户热设计人员解释性能及认证要求；采购人员解释价格与多供应商策略；运维人员说明维护和故障；制造质量人员说明良率和返修；财务人员解释验收、质保和回款。问题围绕直接参与的项目，记录日期、职责和利益关系。</w:t>
      </w:r>
    </w:p>
    <w:p>
      <w:pPr>
        <w:pStyle w:val="Heading2"/>
      </w:pPr>
      <w:r>
        <w:t>优先补证顺序</w:t>
      </w:r>
    </w:p>
    <w:p>
      <w:r>
        <w:t>先取得客户采购及验收样本，检验需求；再取得产品毛利、良率和质保数据，检验单位经济性；最后核对跨代重复订单及回款，检验壁垒。合同、客户资料和生产数据按授权范围取得。</w:t>
      </w:r>
    </w:p>
    <w:p>
      <w:r>
        <w:br w:type="page"/>
      </w:r>
    </w:p>
    <w:p>
      <w:pPr>
        <w:pStyle w:val="Heading1"/>
      </w:pPr>
      <w:r>
        <w:t>六 独立验证与战略行动</w:t>
      </w:r>
    </w:p>
    <w:tbl>
      <w:tblPr>
        <w:tblW w:type="auto" w:w="0"/>
        <w:jc w:val="center"/>
        <w:tblLayout w:type="fixed"/>
        <w:tblLook w:firstColumn="1" w:firstRow="1" w:lastColumn="0" w:lastRow="0" w:noHBand="0" w:noVBand="1" w:val="04A0"/>
      </w:tblPr>
      <w:tblGrid>
        <w:gridCol w:w="1701"/>
        <w:gridCol w:w="4252"/>
        <w:gridCol w:w="3685"/>
      </w:tblGrid>
      <w:tr>
        <w:trPr>
          <w:tblHeade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核心判断</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独立验证依据</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EF"/>
          </w:tcPr>
          <w:p>
            <w:pPr>
              <w:spacing w:after="60" w:before="40" w:line="269" w:lineRule="auto"/>
            </w:pPr>
            <w:r>
              <w:rPr>
                <w:b/>
                <w:sz w:val="18"/>
              </w:rPr>
              <w:t>反证条件</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需求持续增长</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客户招采、供电、投产及验收交叉核对</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规划上升但采购长期不兑现</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性能领先</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第三方统一工况并列复测</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同泵功等约束下优势消失</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长期可靠</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寿命测试及客户故障暴露量</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故障损失超过客户接受范围</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总成本更低</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独立工程方核对账单及维护记录</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全寿命成本不占优且无额外产出</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壁垒稳固</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跨代采购与竞品替换记录</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line="269" w:lineRule="auto"/>
            </w:pPr>
            <w:r>
              <w:rPr>
                <w:b w:val="0"/>
                <w:sz w:val="18"/>
              </w:rPr>
              <w:t>替换便捷且持续压价</w:t>
            </w:r>
          </w:p>
        </w:tc>
      </w:tr>
      <w:tr>
        <w:trPr>
          <w:cantSplit/>
          <w:cantSplit/>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商业兑现良好</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采购至回款穿透及后续财务</w:t>
            </w:r>
          </w:p>
        </w:tc>
        <w:tc>
          <w:tcPr>
            <w:tcW w:type="dxa" w:w="36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before="40" w:line="269" w:lineRule="auto"/>
            </w:pPr>
            <w:r>
              <w:rPr>
                <w:b w:val="0"/>
                <w:sz w:val="18"/>
              </w:rPr>
              <w:t>订单延迟取消或回款持续背离</w:t>
            </w:r>
          </w:p>
        </w:tc>
      </w:tr>
    </w:tbl>
    <w:p/>
    <w:p>
      <w:r>
        <w:t>第三方测试应核对实验室认可范围是否覆盖具体项目。技术规范、合格测试和商业盈利分别验证。历史事实可以核查，技术效果可以复测，未来预测只能通过持续回测检验。</w:t>
      </w:r>
    </w:p>
    <w:p>
      <w:pPr>
        <w:pStyle w:val="Heading2"/>
      </w:pPr>
      <w:r>
        <w:t>建议的战略动作</w:t>
      </w:r>
    </w:p>
    <w:p>
      <w:r>
        <w:t>优先围绕确定客户与平台，补齐冷板、流体连接、CDU控制和系统调试能力。温水液冷布局同步评估室外排热组合。两相和浸没项目以客户场景和寿命证据推进，避免仅按潜在市场预测扩产。</w:t>
      </w:r>
    </w:p>
    <w:p>
      <w:r>
        <w:t>跟踪面板至少包括采购及投产MW、订单口径、验收周期、重复订单、产品毛利、应收和存货周转、质保损失、经营现金流与资本开支。多个指标连续背离时修正需求或企业评价。</w:t>
      </w:r>
    </w:p>
    <w:p>
      <w:pPr>
        <w:pStyle w:val="Heading2"/>
      </w:pPr>
      <w:r>
        <w:t>优化后的研究委托问题</w:t>
      </w:r>
    </w:p>
    <w:p>
      <w:r>
        <w:t>请以战略和投资部门高级研究员标准，研究2026年至2030年散热行业，以AI服务器和数据中心为主线、中国供应链为重点。除常规分析外，开展采购、制造、可靠性、失败案例和反证研究；列明并尽可能取得原始一手素材，说明来源和偏差；实际应用需求、技术、成本、TCO、竞争与财务方法，列出工具、公式及假设；对核心结论提供独立验证渠道、复现条件和推翻条件。交付技术判断、无重复计算的市场模型、企业比较、战略优先级及证据矩阵。严格区分事实、陈述、判断和情景，对证据不足部分保留判断。</w:t>
      </w:r>
    </w:p>
    <w:p>
      <w:r>
        <w:br w:type="page"/>
      </w:r>
    </w:p>
    <w:p>
      <w:pPr>
        <w:pStyle w:val="Heading1"/>
      </w:pPr>
      <w:r>
        <w:t>附录 原始来源与使用边界</w:t>
      </w:r>
    </w:p>
    <w:p>
      <w:r>
        <w:t>以下链接对应正文编号，便于独立核查。网页可能更新，技术和财务结论应按文内标注期间使用。</w:t>
      </w:r>
    </w:p>
    <w:p>
      <w:pPr>
        <w:spacing w:after="140"/>
      </w:pPr>
      <w:hyperlink r:id="rId10">
        <w:r>
          <w:rPr>
            <w:color w:val="245879"/>
          </w:rPr>
          <w:t>[1] IEA 2026 Key Questions on Energy and AI 执行摘要</w:t>
        </w:r>
      </w:hyperlink>
    </w:p>
    <w:p>
      <w:pPr>
        <w:spacing w:after="200"/>
      </w:pPr>
      <w:r>
        <w:rPr>
          <w:sz w:val="18"/>
        </w:rPr>
        <w:t>用途：全球需求方向及能源约束。性质：机构估算与预测，非设备采购原始账。</w:t>
      </w:r>
    </w:p>
    <w:p>
      <w:pPr>
        <w:spacing w:after="140"/>
      </w:pPr>
      <w:hyperlink r:id="rId11">
        <w:r>
          <w:rPr>
            <w:color w:val="245879"/>
          </w:rPr>
          <w:t>[2] NVIDIA Vera Rubin POD 技术说明 2026年3月16日</w:t>
        </w:r>
      </w:hyperlink>
    </w:p>
    <w:p>
      <w:pPr>
        <w:spacing w:after="200"/>
      </w:pPr>
      <w:r>
        <w:rPr>
          <w:sz w:val="18"/>
        </w:rPr>
        <w:t>用途：45℃入口温水、机架液冷及系统架构。性质：平台方技术披露，非独立性能测试。</w:t>
      </w:r>
    </w:p>
    <w:p>
      <w:pPr>
        <w:spacing w:after="140"/>
      </w:pPr>
      <w:hyperlink r:id="rId12">
        <w:r>
          <w:rPr>
            <w:color w:val="245879"/>
          </w:rPr>
          <w:t>[3] OCP Cold Plate 项目与规范入口</w:t>
        </w:r>
      </w:hyperlink>
    </w:p>
    <w:p>
      <w:pPr>
        <w:spacing w:after="200"/>
      </w:pPr>
      <w:r>
        <w:rPr>
          <w:sz w:val="18"/>
        </w:rPr>
        <w:t>用途：系统边界、接口、冷却液及材料兼容。具体项目应确认规范版本及适用范围。</w:t>
      </w:r>
    </w:p>
    <w:p>
      <w:pPr>
        <w:spacing w:after="140"/>
      </w:pPr>
      <w:hyperlink r:id="rId13">
        <w:r>
          <w:rPr>
            <w:color w:val="245879"/>
          </w:rPr>
          <w:t>[4] Schneider Electric Reference Design 113</w:t>
        </w:r>
      </w:hyperlink>
    </w:p>
    <w:p>
      <w:pPr>
        <w:spacing w:after="200"/>
      </w:pPr>
      <w:r>
        <w:rPr>
          <w:sz w:val="18"/>
        </w:rPr>
        <w:t>用途：设施侧排热与CDU组合。性质：参考设计，非现场全年运行数据。</w:t>
      </w:r>
    </w:p>
    <w:p>
      <w:pPr>
        <w:spacing w:after="140"/>
      </w:pPr>
      <w:hyperlink r:id="rId14">
        <w:r>
          <w:rPr>
            <w:color w:val="245879"/>
          </w:rPr>
          <w:t>[5] Delta COMPUTEX 2026 产品资料</w:t>
        </w:r>
      </w:hyperlink>
    </w:p>
    <w:p>
      <w:pPr>
        <w:spacing w:after="200"/>
      </w:pPr>
      <w:r>
        <w:rPr>
          <w:sz w:val="18"/>
        </w:rPr>
        <w:t>用途：3 MW级CDU产品声明。不能据此证明市场份额或运行效率领先。</w:t>
      </w:r>
    </w:p>
    <w:p>
      <w:pPr>
        <w:spacing w:after="140"/>
      </w:pPr>
      <w:hyperlink r:id="rId15">
        <w:r>
          <w:rPr>
            <w:color w:val="245879"/>
          </w:rPr>
          <w:t>[6] 美国能源部 数据中心冷却用水与PUE说明</w:t>
        </w:r>
      </w:hyperlink>
    </w:p>
    <w:p>
      <w:pPr>
        <w:spacing w:after="200"/>
      </w:pPr>
      <w:r>
        <w:rPr>
          <w:sz w:val="18"/>
        </w:rPr>
        <w:t>用途：能耗计量和冷却回路边界，不用于估计当前市场规模。</w:t>
      </w:r>
    </w:p>
    <w:p>
      <w:pPr>
        <w:spacing w:after="140"/>
      </w:pPr>
      <w:hyperlink r:id="rId16">
        <w:r>
          <w:rPr>
            <w:color w:val="245879"/>
          </w:rPr>
          <w:t>[7] 英维克 2026年半年度报告</w:t>
        </w:r>
      </w:hyperlink>
    </w:p>
    <w:p>
      <w:pPr>
        <w:spacing w:after="200"/>
      </w:pPr>
      <w:r>
        <w:rPr>
          <w:sz w:val="18"/>
        </w:rPr>
        <w:t>用途：第7页集团财务指标。集团数据不能替代液冷分部利润。</w:t>
      </w:r>
    </w:p>
    <w:p>
      <w:pPr>
        <w:spacing w:after="140"/>
      </w:pPr>
      <w:hyperlink r:id="rId17">
        <w:r>
          <w:rPr>
            <w:color w:val="245879"/>
          </w:rPr>
          <w:t>[8] 申菱环境 2026年半年度报告摘要</w:t>
        </w:r>
      </w:hyperlink>
    </w:p>
    <w:p>
      <w:pPr>
        <w:spacing w:after="200"/>
      </w:pPr>
      <w:r>
        <w:rPr>
          <w:sz w:val="18"/>
        </w:rPr>
        <w:t>用途：第1至2页财务指标。进一步尽调应结合全文附注和项目记录。</w:t>
      </w:r>
    </w:p>
    <w:p>
      <w:pPr>
        <w:spacing w:after="140"/>
      </w:pPr>
      <w:hyperlink r:id="rId18">
        <w:r>
          <w:rPr>
            <w:color w:val="245879"/>
          </w:rPr>
          <w:t>[9] Vertiv 2026年第二季度业绩 SEC附件</w:t>
        </w:r>
      </w:hyperlink>
    </w:p>
    <w:p>
      <w:pPr>
        <w:spacing w:after="200"/>
      </w:pPr>
      <w:r>
        <w:rPr>
          <w:sz w:val="18"/>
        </w:rPr>
        <w:t>用途：集团收入、调整后营业利润率及经营现金流。调整指标与法定指标区分使用。</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散热行业研究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8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160"/>
      <w:contextualSpacing/>
    </w:pPr>
    <w:rPr>
      <w:rFonts w:asciiTheme="majorHAnsi" w:eastAsiaTheme="majorEastAsia" w:hAnsiTheme="majorHAnsi" w:cstheme="majorBidi" w:ascii="Microsoft YaHei" w:hAnsi="Microsoft YaHei" w:eastAsia="Microsoft YaHe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before="160"/>
    </w:pPr>
    <w:rPr>
      <w:rFonts w:asciiTheme="majorHAnsi" w:eastAsiaTheme="majorEastAsia" w:hAnsiTheme="majorHAnsi" w:cstheme="majorBidi" w:ascii="Microsoft YaHei" w:hAnsi="Microsoft YaHe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ea.org/reports/key-questions-on-energy-and-ai/executive-summary" TargetMode="External"/><Relationship Id="rId11" Type="http://schemas.openxmlformats.org/officeDocument/2006/relationships/hyperlink" Target="https://developer.nvidia.com/blog/nvidia-vera-rubin-pod-seven-chips-five-rack-scale-systems-one-ai-supercomputer" TargetMode="External"/><Relationship Id="rId12" Type="http://schemas.openxmlformats.org/officeDocument/2006/relationships/hyperlink" Target="https://www.opencompute.org/projects/cooling-environments/cold-plate/" TargetMode="External"/><Relationship Id="rId13" Type="http://schemas.openxmlformats.org/officeDocument/2006/relationships/hyperlink" Target="https://www.se.com/us/en/download/document/RD113DS/" TargetMode="External"/><Relationship Id="rId14" Type="http://schemas.openxmlformats.org/officeDocument/2006/relationships/hyperlink" Target="https://www.deltaww.com/en-US/landing/Computex-2026" TargetMode="External"/><Relationship Id="rId15" Type="http://schemas.openxmlformats.org/officeDocument/2006/relationships/hyperlink" Target="https://www.energy.gov/cmei/femp/cooling-water-efficiency-opportunities-federal-data-centers" TargetMode="External"/><Relationship Id="rId16" Type="http://schemas.openxmlformats.org/officeDocument/2006/relationships/hyperlink" Target="https://static.cninfo.com.cn/finalpage/2026-08-25/1225495981.PDF" TargetMode="External"/><Relationship Id="rId17" Type="http://schemas.openxmlformats.org/officeDocument/2006/relationships/hyperlink" Target="https://static.cninfo.com.cn/finalpage/2026-08-29/1225529030.PDF" TargetMode="External"/><Relationship Id="rId18" Type="http://schemas.openxmlformats.org/officeDocument/2006/relationships/hyperlink" Target="https://www.sec.gov/Archives/edgar/data/1674101/000162828026050323/q22026exhibit991vrt0729202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散热行业战略与投资研究报告</dc:title>
  <dc:subject>AI服务器与数据中心液冷产业链研究</dc:subject>
  <dc:creator>行业研究</dc:creator>
  <cp:keywords/>
  <dc:description>generated by python-docx</dc:description>
  <cp:lastModifiedBy/>
  <cp:revision>1</cp:revision>
  <dcterms:created xsi:type="dcterms:W3CDTF">2013-12-23T23:15:00Z</dcterms:created>
  <dcterms:modified xsi:type="dcterms:W3CDTF">2013-12-23T23:15:00Z</dcterms:modified>
  <cp:category/>
</cp:coreProperties>
</file>