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TriDao FA-NPU A5 v3 反向确定性方案详设</w:t>
      </w:r>
    </w:p>
    <w:p>
      <w:pPr>
        <w:pStyle w:val="2"/>
        <w:spacing w:before="320" w:after="120" w:line="288" w:lineRule="auto"/>
        <w:ind w:left="0"/>
        <w:jc w:val="left"/>
        <w:outlineLvl w:val="1"/>
      </w:pPr>
      <w:bookmarkStart w:name="heading_0" w:id="0"/>
      <w:r>
        <w:rPr>
          <w:rFonts w:eastAsia="等线" w:ascii="Arial" w:cs="Arial" w:hAnsi="Arial"/>
          <w:b w:val="true"/>
          <w:sz w:val="32"/>
        </w:rPr>
        <w:t>需求分析</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需求背景</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功能分析</w:t>
      </w:r>
      <w:bookmarkEnd w:id="2"/>
    </w:p>
    <w:p>
      <w:pPr>
        <w:spacing w:before="120" w:after="120" w:line="288" w:lineRule="auto"/>
        <w:ind w:left="0"/>
        <w:jc w:val="left"/>
      </w:pPr>
      <w:r>
        <w:rPr>
          <w:rFonts w:eastAsia="等线" w:ascii="Arial" w:cs="Arial" w:hAnsi="Arial"/>
          <w:sz w:val="22"/>
        </w:rPr>
        <w:t>浮点加法不满足结合律，若按照随机顺序对反向过程中的分块梯度累加，会导致两次反向过程得到的参数梯度不一致的问题。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sz w:val="22"/>
              </w:rPr>
              <w:t>(1e16 + 1.0) + (-1e16) = 0.0</w:t>
              <w:br/>
            </w:r>
            <w:r>
              <w:rPr>
                <w:rFonts w:eastAsia="Consolas" w:ascii="Consolas" w:cs="Consolas" w:hAnsi="Consolas"/>
                <w:sz w:val="22"/>
              </w:rPr>
              <w:t>(1e16 + (-1e16)) + 1.0 = 1.0    # 浮点相加顺序不一样，结果也不同</w:t>
            </w:r>
          </w:p>
        </w:tc>
      </w:tr>
    </w:tbl>
    <w:p>
      <w:pPr>
        <w:spacing w:before="120" w:after="120" w:line="288" w:lineRule="auto"/>
        <w:ind w:left="0"/>
        <w:jc w:val="left"/>
      </w:pPr>
      <w:r>
        <w:rPr>
          <w:rFonts w:eastAsia="等线" w:ascii="Arial" w:cs="Arial" w:hAnsi="Arial"/>
          <w:sz w:val="22"/>
        </w:rPr>
        <w:t>而 FAG 的反向过程存在 dq，dk，dv 分块梯度累加，对于非确定性方案，这些梯度分块常常是按照各个 cube 核的计算完成的时间顺序累加的，但是无法保证两次运行累加顺序的一致性。为了支持对于同一样本在任意一次反向梯度的一致性，需要保证对同一样本，梯度分块的累加次序是相同的，为 FAG 算子增加确定性特性。</w:t>
      </w:r>
    </w:p>
    <w:p>
      <w:pPr>
        <w:pStyle w:val="3"/>
        <w:spacing w:before="300" w:after="120" w:line="288" w:lineRule="auto"/>
        <w:ind w:left="0"/>
        <w:jc w:val="left"/>
        <w:outlineLvl w:val="2"/>
      </w:pPr>
      <w:bookmarkStart w:name="heading_3" w:id="3"/>
      <w:r>
        <w:rPr>
          <w:rFonts w:eastAsia="等线" w:ascii="Arial" w:cs="Arial" w:hAnsi="Arial"/>
          <w:b w:val="true"/>
          <w:sz w:val="30"/>
        </w:rPr>
        <w:t>原型设计</w:t>
      </w:r>
      <w:bookmarkEnd w:id="3"/>
    </w:p>
    <w:p>
      <w:pPr>
        <w:pStyle w:val="4"/>
        <w:spacing w:before="260" w:after="120" w:line="288" w:lineRule="auto"/>
        <w:ind w:left="0"/>
        <w:jc w:val="left"/>
        <w:outlineLvl w:val="3"/>
      </w:pPr>
      <w:bookmarkStart w:name="heading_4" w:id="4"/>
      <w:r>
        <w:rPr>
          <w:rFonts w:eastAsia="等线" w:ascii="Arial" w:cs="Arial" w:hAnsi="Arial"/>
          <w:b w:val="true"/>
          <w:sz w:val="28"/>
        </w:rPr>
        <w:t>接口函数</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C++</w:t>
              <w:br w:type="textWrapping"/>
            </w:r>
            <w:r>
              <w:rPr>
                <w:rFonts w:eastAsia="Consolas" w:ascii="Consolas" w:cs="Consolas" w:hAnsi="Consolas"/>
                <w:sz w:val="22"/>
              </w:rPr>
              <w:t>std::vector</w:t>
            </w:r>
            <w:r>
              <w:rPr>
                <w:rFonts w:eastAsia="Consolas" w:ascii="Consolas" w:cs="Consolas" w:hAnsi="Consolas"/>
                <w:b w:val="true"/>
                <w:sz w:val="22"/>
              </w:rPr>
              <w:t>&lt;</w:t>
            </w:r>
            <w:r>
              <w:rPr>
                <w:rFonts w:eastAsia="Consolas" w:ascii="Consolas" w:cs="Consolas" w:hAnsi="Consolas"/>
                <w:sz w:val="22"/>
              </w:rPr>
              <w:t>at::Tensor</w:t>
            </w:r>
            <w:r>
              <w:rPr>
                <w:rFonts w:eastAsia="Consolas" w:ascii="Consolas" w:cs="Consolas" w:hAnsi="Consolas"/>
                <w:b w:val="true"/>
                <w:sz w:val="22"/>
              </w:rPr>
              <w:t>&gt;</w:t>
            </w:r>
            <w:r>
              <w:rPr>
                <w:rFonts w:eastAsia="Consolas" w:ascii="Consolas" w:cs="Consolas" w:hAnsi="Consolas"/>
                <w:sz w:val="22"/>
              </w:rPr>
              <w:br/>
            </w:r>
            <w:r>
              <w:rPr>
                <w:rFonts w:eastAsia="Consolas" w:ascii="Consolas" w:cs="Consolas" w:hAnsi="Consolas"/>
                <w:b w:val="true"/>
                <w:sz w:val="22"/>
              </w:rPr>
              <w:t>mha_bwd</w:t>
            </w:r>
            <w:r>
              <w:rPr>
                <w:rFonts w:eastAsia="Consolas" w:ascii="Consolas" w:cs="Consolas" w:hAnsi="Consolas"/>
                <w:sz w:val="22"/>
              </w:rPr>
              <w:t>(</w:t>
              <w:br/>
              <w:t xml:space="preserve">    at::Tensor dout,</w:t>
              <w:br/>
              <w:t xml:space="preserve">    at::Tensor q,</w:t>
              <w:br/>
              <w:t xml:space="preserve">    at::Tensor k,</w:t>
              <w:br/>
              <w:t xml:space="preserve">    at::Tensor v,</w:t>
              <w:br/>
              <w:t xml:space="preserve">    at::Tensor out,</w:t>
              <w:br/>
              <w:t xml:space="preserve">    at::Tensor softmax_lse,</w:t>
              <w:br/>
            </w:r>
            <w:r>
              <w:rPr>
                <w:rFonts w:eastAsia="Consolas" w:ascii="Consolas" w:cs="Consolas" w:hAnsi="Consolas"/>
                <w:sz w:val="22"/>
              </w:rPr>
              <w:t xml:space="preserve">    std::optional</w:t>
            </w:r>
            <w:r>
              <w:rPr>
                <w:rFonts w:eastAsia="Consolas" w:ascii="Consolas" w:cs="Consolas" w:hAnsi="Consolas"/>
                <w:b w:val="true"/>
                <w:sz w:val="22"/>
              </w:rPr>
              <w:t>&lt;</w:t>
            </w:r>
            <w:r>
              <w:rPr>
                <w:rFonts w:eastAsia="Consolas" w:ascii="Consolas" w:cs="Consolas" w:hAnsi="Consolas"/>
                <w:sz w:val="22"/>
              </w:rPr>
              <w:t>at::Tensor</w:t>
            </w:r>
            <w:r>
              <w:rPr>
                <w:rFonts w:eastAsia="Consolas" w:ascii="Consolas" w:cs="Consolas" w:hAnsi="Consolas"/>
                <w:b w:val="true"/>
                <w:sz w:val="22"/>
              </w:rPr>
              <w:t>&gt;</w:t>
            </w:r>
            <w:r>
              <w:rPr>
                <w:rFonts w:eastAsia="Consolas" w:ascii="Consolas" w:cs="Consolas" w:hAnsi="Consolas"/>
                <w:sz w:val="22"/>
              </w:rPr>
              <w:t xml:space="preserve"> dq_,</w:t>
              <w:br/>
            </w:r>
            <w:r>
              <w:rPr>
                <w:rFonts w:eastAsia="Consolas" w:ascii="Consolas" w:cs="Consolas" w:hAnsi="Consolas"/>
                <w:sz w:val="22"/>
              </w:rPr>
              <w:t xml:space="preserve">    std::optional</w:t>
            </w:r>
            <w:r>
              <w:rPr>
                <w:rFonts w:eastAsia="Consolas" w:ascii="Consolas" w:cs="Consolas" w:hAnsi="Consolas"/>
                <w:b w:val="true"/>
                <w:sz w:val="22"/>
              </w:rPr>
              <w:t>&lt;</w:t>
            </w:r>
            <w:r>
              <w:rPr>
                <w:rFonts w:eastAsia="Consolas" w:ascii="Consolas" w:cs="Consolas" w:hAnsi="Consolas"/>
                <w:sz w:val="22"/>
              </w:rPr>
              <w:t>at::Tensor</w:t>
            </w:r>
            <w:r>
              <w:rPr>
                <w:rFonts w:eastAsia="Consolas" w:ascii="Consolas" w:cs="Consolas" w:hAnsi="Consolas"/>
                <w:b w:val="true"/>
                <w:sz w:val="22"/>
              </w:rPr>
              <w:t>&gt;</w:t>
            </w:r>
            <w:r>
              <w:rPr>
                <w:rFonts w:eastAsia="Consolas" w:ascii="Consolas" w:cs="Consolas" w:hAnsi="Consolas"/>
                <w:sz w:val="22"/>
              </w:rPr>
              <w:t xml:space="preserve"> dk_,</w:t>
              <w:br/>
            </w:r>
            <w:r>
              <w:rPr>
                <w:rFonts w:eastAsia="Consolas" w:ascii="Consolas" w:cs="Consolas" w:hAnsi="Consolas"/>
                <w:sz w:val="22"/>
              </w:rPr>
              <w:t xml:space="preserve">    std::optional</w:t>
            </w:r>
            <w:r>
              <w:rPr>
                <w:rFonts w:eastAsia="Consolas" w:ascii="Consolas" w:cs="Consolas" w:hAnsi="Consolas"/>
                <w:b w:val="true"/>
                <w:sz w:val="22"/>
              </w:rPr>
              <w:t>&lt;</w:t>
            </w:r>
            <w:r>
              <w:rPr>
                <w:rFonts w:eastAsia="Consolas" w:ascii="Consolas" w:cs="Consolas" w:hAnsi="Consolas"/>
                <w:sz w:val="22"/>
              </w:rPr>
              <w:t>at::Tensor</w:t>
            </w:r>
            <w:r>
              <w:rPr>
                <w:rFonts w:eastAsia="Consolas" w:ascii="Consolas" w:cs="Consolas" w:hAnsi="Consolas"/>
                <w:b w:val="true"/>
                <w:sz w:val="22"/>
              </w:rPr>
              <w:t>&gt;</w:t>
            </w:r>
            <w:r>
              <w:rPr>
                <w:rFonts w:eastAsia="Consolas" w:ascii="Consolas" w:cs="Consolas" w:hAnsi="Consolas"/>
                <w:sz w:val="22"/>
              </w:rPr>
              <w:t xml:space="preserve"> dv_,</w:t>
              <w:br/>
            </w:r>
            <w:r>
              <w:rPr>
                <w:rFonts w:eastAsia="Consolas" w:ascii="Consolas" w:cs="Consolas" w:hAnsi="Consolas"/>
                <w:sz w:val="22"/>
              </w:rPr>
              <w:t xml:space="preserve">    std::optional</w:t>
            </w:r>
            <w:r>
              <w:rPr>
                <w:rFonts w:eastAsia="Consolas" w:ascii="Consolas" w:cs="Consolas" w:hAnsi="Consolas"/>
                <w:b w:val="true"/>
                <w:sz w:val="22"/>
              </w:rPr>
              <w:t>&lt;</w:t>
            </w:r>
            <w:r>
              <w:rPr>
                <w:rFonts w:eastAsia="Consolas" w:ascii="Consolas" w:cs="Consolas" w:hAnsi="Consolas"/>
                <w:sz w:val="22"/>
              </w:rPr>
              <w:t>at::Tensor</w:t>
            </w:r>
            <w:r>
              <w:rPr>
                <w:rFonts w:eastAsia="Consolas" w:ascii="Consolas" w:cs="Consolas" w:hAnsi="Consolas"/>
                <w:b w:val="true"/>
                <w:sz w:val="22"/>
              </w:rPr>
              <w:t>&gt;</w:t>
            </w:r>
            <w:r>
              <w:rPr>
                <w:rFonts w:eastAsia="Consolas" w:ascii="Consolas" w:cs="Consolas" w:hAnsi="Consolas"/>
                <w:sz w:val="22"/>
              </w:rPr>
              <w:t xml:space="preserve"> cu_seqlens_q_,</w:t>
              <w:br/>
            </w:r>
            <w:r>
              <w:rPr>
                <w:rFonts w:eastAsia="Consolas" w:ascii="Consolas" w:cs="Consolas" w:hAnsi="Consolas"/>
                <w:sz w:val="22"/>
              </w:rPr>
              <w:t xml:space="preserve">    std::optional</w:t>
            </w:r>
            <w:r>
              <w:rPr>
                <w:rFonts w:eastAsia="Consolas" w:ascii="Consolas" w:cs="Consolas" w:hAnsi="Consolas"/>
                <w:b w:val="true"/>
                <w:sz w:val="22"/>
              </w:rPr>
              <w:t>&lt;</w:t>
            </w:r>
            <w:r>
              <w:rPr>
                <w:rFonts w:eastAsia="Consolas" w:ascii="Consolas" w:cs="Consolas" w:hAnsi="Consolas"/>
                <w:sz w:val="22"/>
              </w:rPr>
              <w:t>at::Tensor</w:t>
            </w:r>
            <w:r>
              <w:rPr>
                <w:rFonts w:eastAsia="Consolas" w:ascii="Consolas" w:cs="Consolas" w:hAnsi="Consolas"/>
                <w:b w:val="true"/>
                <w:sz w:val="22"/>
              </w:rPr>
              <w:t>&gt;</w:t>
            </w:r>
            <w:r>
              <w:rPr>
                <w:rFonts w:eastAsia="Consolas" w:ascii="Consolas" w:cs="Consolas" w:hAnsi="Consolas"/>
                <w:sz w:val="22"/>
              </w:rPr>
              <w:t xml:space="preserve"> cu_seqlens_k_,</w:t>
              <w:br/>
            </w:r>
            <w:r>
              <w:rPr>
                <w:rFonts w:eastAsia="Consolas" w:ascii="Consolas" w:cs="Consolas" w:hAnsi="Consolas"/>
                <w:sz w:val="22"/>
              </w:rPr>
              <w:t xml:space="preserve">    std::optional</w:t>
            </w:r>
            <w:r>
              <w:rPr>
                <w:rFonts w:eastAsia="Consolas" w:ascii="Consolas" w:cs="Consolas" w:hAnsi="Consolas"/>
                <w:b w:val="true"/>
                <w:sz w:val="22"/>
              </w:rPr>
              <w:t>&lt;</w:t>
            </w:r>
            <w:r>
              <w:rPr>
                <w:rFonts w:eastAsia="Consolas" w:ascii="Consolas" w:cs="Consolas" w:hAnsi="Consolas"/>
                <w:sz w:val="22"/>
              </w:rPr>
              <w:t>at::Tensor</w:t>
            </w:r>
            <w:r>
              <w:rPr>
                <w:rFonts w:eastAsia="Consolas" w:ascii="Consolas" w:cs="Consolas" w:hAnsi="Consolas"/>
                <w:b w:val="true"/>
                <w:sz w:val="22"/>
              </w:rPr>
              <w:t>&gt;</w:t>
            </w:r>
            <w:r>
              <w:rPr>
                <w:rFonts w:eastAsia="Consolas" w:ascii="Consolas" w:cs="Consolas" w:hAnsi="Consolas"/>
                <w:sz w:val="22"/>
              </w:rPr>
              <w:t xml:space="preserve"> seqused_q_,</w:t>
              <w:br/>
            </w:r>
            <w:r>
              <w:rPr>
                <w:rFonts w:eastAsia="Consolas" w:ascii="Consolas" w:cs="Consolas" w:hAnsi="Consolas"/>
                <w:sz w:val="22"/>
              </w:rPr>
              <w:t xml:space="preserve">    std::optional</w:t>
            </w:r>
            <w:r>
              <w:rPr>
                <w:rFonts w:eastAsia="Consolas" w:ascii="Consolas" w:cs="Consolas" w:hAnsi="Consolas"/>
                <w:b w:val="true"/>
                <w:sz w:val="22"/>
              </w:rPr>
              <w:t>&lt;</w:t>
            </w:r>
            <w:r>
              <w:rPr>
                <w:rFonts w:eastAsia="Consolas" w:ascii="Consolas" w:cs="Consolas" w:hAnsi="Consolas"/>
                <w:sz w:val="22"/>
              </w:rPr>
              <w:t>at::Tensor</w:t>
            </w:r>
            <w:r>
              <w:rPr>
                <w:rFonts w:eastAsia="Consolas" w:ascii="Consolas" w:cs="Consolas" w:hAnsi="Consolas"/>
                <w:b w:val="true"/>
                <w:sz w:val="22"/>
              </w:rPr>
              <w:t>&gt;</w:t>
            </w:r>
            <w:r>
              <w:rPr>
                <w:rFonts w:eastAsia="Consolas" w:ascii="Consolas" w:cs="Consolas" w:hAnsi="Consolas"/>
                <w:sz w:val="22"/>
              </w:rPr>
              <w:t xml:space="preserve"> seqused_k_,</w:t>
              <w:br/>
            </w:r>
            <w:r>
              <w:rPr>
                <w:rFonts w:eastAsia="Consolas" w:ascii="Consolas" w:cs="Consolas" w:hAnsi="Consolas"/>
                <w:sz w:val="22"/>
              </w:rPr>
              <w:t xml:space="preserve">    std::optional</w:t>
            </w:r>
            <w:r>
              <w:rPr>
                <w:rFonts w:eastAsia="Consolas" w:ascii="Consolas" w:cs="Consolas" w:hAnsi="Consolas"/>
                <w:b w:val="true"/>
                <w:sz w:val="22"/>
              </w:rPr>
              <w:t>&lt;</w:t>
            </w:r>
            <w:r>
              <w:rPr>
                <w:rFonts w:eastAsia="Consolas" w:ascii="Consolas" w:cs="Consolas" w:hAnsi="Consolas"/>
                <w:sz w:val="22"/>
              </w:rPr>
              <w:t>int64_t</w:t>
            </w:r>
            <w:r>
              <w:rPr>
                <w:rFonts w:eastAsia="Consolas" w:ascii="Consolas" w:cs="Consolas" w:hAnsi="Consolas"/>
                <w:b w:val="true"/>
                <w:sz w:val="22"/>
              </w:rPr>
              <w:t>&gt;</w:t>
            </w:r>
            <w:r>
              <w:rPr>
                <w:rFonts w:eastAsia="Consolas" w:ascii="Consolas" w:cs="Consolas" w:hAnsi="Consolas"/>
                <w:sz w:val="22"/>
              </w:rPr>
              <w:t xml:space="preserve"> max_seqlen_q_,</w:t>
              <w:br/>
            </w:r>
            <w:r>
              <w:rPr>
                <w:rFonts w:eastAsia="Consolas" w:ascii="Consolas" w:cs="Consolas" w:hAnsi="Consolas"/>
                <w:sz w:val="22"/>
              </w:rPr>
              <w:t xml:space="preserve">    std::optional</w:t>
            </w:r>
            <w:r>
              <w:rPr>
                <w:rFonts w:eastAsia="Consolas" w:ascii="Consolas" w:cs="Consolas" w:hAnsi="Consolas"/>
                <w:b w:val="true"/>
                <w:sz w:val="22"/>
              </w:rPr>
              <w:t>&lt;</w:t>
            </w:r>
            <w:r>
              <w:rPr>
                <w:rFonts w:eastAsia="Consolas" w:ascii="Consolas" w:cs="Consolas" w:hAnsi="Consolas"/>
                <w:sz w:val="22"/>
              </w:rPr>
              <w:t>int64_t</w:t>
            </w:r>
            <w:r>
              <w:rPr>
                <w:rFonts w:eastAsia="Consolas" w:ascii="Consolas" w:cs="Consolas" w:hAnsi="Consolas"/>
                <w:b w:val="true"/>
                <w:sz w:val="22"/>
              </w:rPr>
              <w:t>&gt;</w:t>
            </w:r>
            <w:r>
              <w:rPr>
                <w:rFonts w:eastAsia="Consolas" w:ascii="Consolas" w:cs="Consolas" w:hAnsi="Consolas"/>
                <w:sz w:val="22"/>
              </w:rPr>
              <w:t xml:space="preserve"> max_seqlen_k_,</w:t>
              <w:br/>
            </w:r>
            <w:r>
              <w:rPr>
                <w:rFonts w:eastAsia="Consolas" w:ascii="Consolas" w:cs="Consolas" w:hAnsi="Consolas"/>
                <w:sz w:val="22"/>
              </w:rPr>
              <w:t xml:space="preserve">    std::optional</w:t>
            </w:r>
            <w:r>
              <w:rPr>
                <w:rFonts w:eastAsia="Consolas" w:ascii="Consolas" w:cs="Consolas" w:hAnsi="Consolas"/>
                <w:b w:val="true"/>
                <w:sz w:val="22"/>
              </w:rPr>
              <w:t>&lt;</w:t>
            </w:r>
            <w:r>
              <w:rPr>
                <w:rFonts w:eastAsia="Consolas" w:ascii="Consolas" w:cs="Consolas" w:hAnsi="Consolas"/>
                <w:sz w:val="22"/>
              </w:rPr>
              <w:t>double</w:t>
            </w:r>
            <w:r>
              <w:rPr>
                <w:rFonts w:eastAsia="Consolas" w:ascii="Consolas" w:cs="Consolas" w:hAnsi="Consolas"/>
                <w:b w:val="true"/>
                <w:sz w:val="22"/>
              </w:rPr>
              <w:t>&gt;</w:t>
            </w:r>
            <w:r>
              <w:rPr>
                <w:rFonts w:eastAsia="Consolas" w:ascii="Consolas" w:cs="Consolas" w:hAnsi="Consolas"/>
                <w:sz w:val="22"/>
              </w:rPr>
              <w:t xml:space="preserve"> softmax_scale_,</w:t>
              <w:br/>
              <w:t xml:space="preserve">    bool is_causal,</w:t>
              <w:br/>
              <w:t xml:space="preserve">    int64_t window_size_left,</w:t>
              <w:br/>
              <w:t xml:space="preserve">    int64_t window_size_right,</w:t>
              <w:br/>
              <w:t xml:space="preserve">    double softcap,</w:t>
              <w:br/>
              <w:t xml:space="preserve">    bool deterministic,</w:t>
              <w:br/>
            </w:r>
            <w:r>
              <w:rPr>
                <w:rFonts w:eastAsia="Consolas" w:ascii="Consolas" w:cs="Consolas" w:hAnsi="Consolas"/>
                <w:sz w:val="22"/>
              </w:rPr>
              <w:t xml:space="preserve">    int64_t sm_margin)</w:t>
            </w:r>
          </w:p>
        </w:tc>
      </w:tr>
    </w:tbl>
    <w:p>
      <w:pPr>
        <w:pStyle w:val="4"/>
        <w:spacing w:before="260" w:after="120" w:line="288" w:lineRule="auto"/>
        <w:ind w:left="0"/>
        <w:jc w:val="left"/>
        <w:outlineLvl w:val="3"/>
      </w:pPr>
      <w:bookmarkStart w:name="heading_5" w:id="5"/>
      <w:r>
        <w:rPr>
          <w:rFonts w:eastAsia="等线" w:ascii="Arial" w:cs="Arial" w:hAnsi="Arial"/>
          <w:b w:val="true"/>
          <w:sz w:val="28"/>
        </w:rPr>
        <w:t>相关输入输出说明</w:t>
      </w:r>
      <w:bookmarkEnd w:id="5"/>
    </w:p>
    <w:p>
      <w:pPr>
        <w:numPr>
          <w:numId w:val="1"/>
        </w:numPr>
        <w:spacing w:before="120" w:after="120" w:line="288" w:lineRule="auto"/>
        <w:ind w:left="0"/>
        <w:jc w:val="left"/>
      </w:pPr>
      <w:r>
        <w:rPr>
          <w:rFonts w:eastAsia="等线" w:ascii="Arial" w:cs="Arial" w:hAnsi="Arial"/>
          <w:sz w:val="22"/>
        </w:rPr>
        <w:t xml:space="preserve">启用确定性/非确定性方案参数 deterministic: </w:t>
      </w:r>
    </w:p>
    <w:p>
      <w:pPr>
        <w:numPr>
          <w:numId w:val="2"/>
        </w:numPr>
        <w:spacing w:before="120" w:after="120" w:line="288" w:lineRule="auto"/>
        <w:ind w:left="453"/>
        <w:jc w:val="left"/>
      </w:pPr>
      <w:r>
        <w:rPr>
          <w:rFonts w:eastAsia="等线" w:ascii="Arial" w:cs="Arial" w:hAnsi="Arial"/>
          <w:sz w:val="22"/>
        </w:rPr>
        <w:t>True: 启用确定性方案</w:t>
      </w:r>
    </w:p>
    <w:p>
      <w:pPr>
        <w:numPr>
          <w:numId w:val="3"/>
        </w:numPr>
        <w:spacing w:before="120" w:after="120" w:line="288" w:lineRule="auto"/>
        <w:ind w:left="453"/>
        <w:jc w:val="left"/>
      </w:pPr>
      <w:r>
        <w:rPr>
          <w:rFonts w:eastAsia="等线" w:ascii="Arial" w:cs="Arial" w:hAnsi="Arial"/>
          <w:sz w:val="22"/>
        </w:rPr>
        <w:t>False: 启用非确定性方案</w:t>
      </w:r>
    </w:p>
    <w:p>
      <w:pPr>
        <w:pStyle w:val="2"/>
        <w:spacing w:before="320" w:after="120" w:line="288" w:lineRule="auto"/>
        <w:ind w:left="0"/>
        <w:jc w:val="left"/>
        <w:outlineLvl w:val="1"/>
      </w:pPr>
      <w:bookmarkStart w:name="heading_6" w:id="6"/>
      <w:r>
        <w:rPr>
          <w:rFonts w:eastAsia="等线" w:ascii="Arial" w:cs="Arial" w:hAnsi="Arial"/>
          <w:b w:val="true"/>
          <w:sz w:val="32"/>
        </w:rPr>
        <w:t>特性实现方案</w:t>
      </w:r>
      <w:bookmarkEnd w:id="6"/>
    </w:p>
    <w:p>
      <w:pPr>
        <w:pStyle w:val="3"/>
        <w:spacing w:before="300" w:after="120" w:line="288" w:lineRule="auto"/>
        <w:ind w:left="0"/>
        <w:jc w:val="left"/>
        <w:outlineLvl w:val="2"/>
      </w:pPr>
      <w:bookmarkStart w:name="heading_7" w:id="7"/>
      <w:r>
        <w:rPr>
          <w:rFonts w:eastAsia="等线" w:ascii="Arial" w:cs="Arial" w:hAnsi="Arial"/>
          <w:b w:val="true"/>
          <w:sz w:val="30"/>
        </w:rPr>
        <w:t>TriDao A5 FAGv3 确定性特性实现</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Cube 计算逻辑</w:t>
      </w:r>
      <w:bookmarkEnd w:id="8"/>
    </w:p>
    <w:p>
      <w:pPr>
        <w:spacing w:before="120" w:after="120" w:line="288" w:lineRule="auto"/>
        <w:ind w:left="0"/>
        <w:jc w:val="left"/>
      </w:pPr>
      <w:r>
        <w:rPr>
          <w:rFonts w:eastAsia="等线" w:ascii="Arial" w:cs="Arial" w:hAnsi="Arial"/>
          <w:sz w:val="22"/>
        </w:rPr>
        <w:t>对于 cube345 部分，非确定性方案的实现是当 dq、dk、dv 分块梯度计算完成后直接对 dQ/dK/dVWorkSpaceGm 使用 AtomicAdd，但是无法保证累加顺序的一致性；而确定性方案对这一逻辑进行了修改，因为要保证累加次序的一致性，因此为每个 Cube 核在 GM 上申请一份 DetWorkSpaceGm 空间，用于保存每个核每一轮计算得到的分块梯度，之后由 Vec 核按轮内固定的顺序对每个核对应的 DetWorkSpaceGm 数据进行累加。</w:t>
      </w:r>
    </w:p>
    <w:p>
      <w:pPr>
        <w:spacing w:before="120" w:after="120" w:line="288" w:lineRule="auto"/>
        <w:ind w:left="0"/>
        <w:jc w:val="left"/>
      </w:pPr>
      <w:r>
        <w:rPr>
          <w:rFonts w:eastAsia="等线" w:ascii="Arial" w:cs="Arial" w:hAnsi="Arial"/>
          <w:sz w:val="22"/>
        </w:rPr>
        <w:t>如下图中 cube345 中 dK 梯度累加的例子来说，假设 dS 的 S2 方向分 3 块 Block_S2（设 S2 分块索引分别为s2o=0,1,2），S1 方向分 2 块 BLOCK_S1（设 S1 分块索引分别为 s1o=0,1），当需要计算 dK(s2o=0) 的梯度时，需要 dS(s1o=0, s2o=0) 与 dQ(s1o=0) 和 dS(s1o=1, s2o=0) 与 dQ(s1o=1) 的参与。</w:t>
      </w:r>
    </w:p>
    <w:p>
      <w:pPr>
        <w:numPr>
          <w:numId w:val="4"/>
        </w:numPr>
        <w:spacing w:before="120" w:after="120" w:line="288" w:lineRule="auto"/>
        <w:ind w:left="0"/>
        <w:jc w:val="left"/>
      </w:pPr>
      <w:r>
        <w:rPr>
          <w:rFonts w:eastAsia="等线" w:ascii="Arial" w:cs="Arial" w:hAnsi="Arial"/>
          <w:sz w:val="22"/>
        </w:rPr>
        <w:t>若采用非确定性方案，则 dS(s1o=0, s2o=0) 与 dQ(s1o=0) 的梯度分块 dK(s1o=0, s2o=0)，和 dS(s1o=1, s2o=0) 与 dQ(s1o=1) 的梯度分块 dK(s1o=1, s2o=0) 会采用原子累加的方式写入 dKWorkSpaceGM 中。</w:t>
      </w:r>
    </w:p>
    <w:p>
      <w:pPr>
        <w:spacing w:before="120" w:after="120" w:line="288" w:lineRule="auto"/>
        <w:ind w:left="0"/>
        <w:jc w:val="center"/>
      </w:pPr>
      <w:r>
        <w:drawing>
          <wp:inline distT="0" distR="0" distB="0" distL="0">
            <wp:extent cx="5257800" cy="3552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3552825"/>
                    </a:xfrm>
                    <a:prstGeom prst="rect">
                      <a:avLst/>
                    </a:prstGeom>
                  </pic:spPr>
                </pic:pic>
              </a:graphicData>
            </a:graphic>
          </wp:inline>
        </w:drawing>
      </w:r>
    </w:p>
    <w:p>
      <w:pPr>
        <w:numPr>
          <w:numId w:val="5"/>
        </w:numPr>
        <w:spacing w:before="120" w:after="120" w:line="288" w:lineRule="auto"/>
        <w:ind w:left="0"/>
        <w:jc w:val="left"/>
      </w:pPr>
      <w:r>
        <w:rPr>
          <w:rFonts w:eastAsia="等线" w:ascii="Arial" w:cs="Arial" w:hAnsi="Arial"/>
          <w:sz w:val="22"/>
        </w:rPr>
        <w:t>若采用确定性方案，则 dS(s1o=0, s2o=0) 与 dQ(s1o=0) 的梯度分块 dK(s1o=0, s2o=0)，和 dS(s1o=1, s2o=0) 与 dQ(s1o=1) 的梯度分块 dK(s1o=1, s2o=0) 会先写入各自核的 dKDetWorkSpaceGM 中，再参与后续的累加，关于 dQ，dK，dV 的累加会在 VEC 计算逻辑中详述。</w:t>
      </w:r>
    </w:p>
    <w:p>
      <w:pPr>
        <w:spacing w:before="120" w:after="120" w:line="288" w:lineRule="auto"/>
        <w:ind w:left="453"/>
        <w:jc w:val="center"/>
      </w:pPr>
      <w:r>
        <w:drawing>
          <wp:inline distT="0" distR="0" distB="0" distL="0">
            <wp:extent cx="5257800" cy="37052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705225"/>
                    </a:xfrm>
                    <a:prstGeom prst="rect">
                      <a:avLst/>
                    </a:prstGeom>
                  </pic:spPr>
                </pic:pic>
              </a:graphicData>
            </a:graphic>
          </wp:inline>
        </w:drawing>
      </w:r>
    </w:p>
    <w:p>
      <w:pPr>
        <w:pStyle w:val="3"/>
        <w:spacing w:before="300" w:after="120" w:line="288" w:lineRule="auto"/>
        <w:ind w:left="0"/>
        <w:jc w:val="left"/>
        <w:outlineLvl w:val="2"/>
      </w:pPr>
      <w:bookmarkStart w:name="heading_9" w:id="9"/>
      <w:r>
        <w:rPr>
          <w:rFonts w:eastAsia="等线" w:ascii="Arial" w:cs="Arial" w:hAnsi="Arial"/>
          <w:b w:val="true"/>
          <w:sz w:val="30"/>
        </w:rPr>
        <w:t>VEC 计算逻辑</w:t>
      </w:r>
      <w:bookmarkEnd w:id="9"/>
    </w:p>
    <w:p>
      <w:pPr>
        <w:spacing w:before="120" w:after="120" w:line="288" w:lineRule="auto"/>
        <w:ind w:left="0"/>
        <w:jc w:val="left"/>
      </w:pPr>
      <w:r>
        <w:rPr>
          <w:rFonts w:eastAsia="等线" w:ascii="Arial" w:cs="Arial" w:hAnsi="Arial"/>
          <w:sz w:val="22"/>
        </w:rPr>
        <w:t>在 Cube 完成各自的梯度分块计算并写入 DetWorkSpaceGM 后，确定性算法会使用 VEC 核按照固定的次序继续完成 dQ，dK，dV 各自的梯度分块累加，具体的方案和例子会在本节详细介绍。</w:t>
      </w:r>
    </w:p>
    <w:p>
      <w:pPr>
        <w:spacing w:before="120" w:after="120" w:line="288" w:lineRule="auto"/>
        <w:ind w:left="0"/>
        <w:jc w:val="left"/>
      </w:pPr>
      <w:r>
        <w:rPr>
          <w:rFonts w:eastAsia="等线" w:ascii="Arial" w:cs="Arial" w:hAnsi="Arial"/>
          <w:sz w:val="22"/>
        </w:rPr>
        <w:t>Vector 核按核号分工：0–(N-1)号处理 dQ 各组，N–(2N-1) 号处理 dK 各组，2N–(3N-1) 号处理 dV 各组。每组内部再把 BLOCK_S2 行均分给 16 个核（每核 32 行），</w:t>
      </w:r>
      <w:r>
        <w:rPr>
          <w:rFonts w:eastAsia="等线" w:ascii="Arial" w:cs="Arial" w:hAnsi="Arial"/>
          <w:b w:val="true"/>
          <w:sz w:val="22"/>
        </w:rPr>
        <w:t>同一组同一行段同一时刻只有一个 Vector 核在处理</w:t>
      </w:r>
      <w:r>
        <w:rPr>
          <w:rFonts w:eastAsia="等线" w:ascii="Arial" w:cs="Arial" w:hAnsi="Arial"/>
          <w:sz w:val="22"/>
        </w:rPr>
        <w:t>，组内不需要任何原子操作。</w:t>
      </w:r>
    </w:p>
    <w:p>
      <w:pPr>
        <w:pStyle w:val="4"/>
        <w:spacing w:before="260" w:after="120" w:line="288" w:lineRule="auto"/>
        <w:ind w:left="0"/>
        <w:jc w:val="left"/>
        <w:outlineLvl w:val="3"/>
      </w:pPr>
      <w:bookmarkStart w:name="heading_10" w:id="10"/>
      <w:r>
        <w:rPr>
          <w:rFonts w:eastAsia="等线" w:ascii="Arial" w:cs="Arial" w:hAnsi="Arial"/>
          <w:b w:val="true"/>
          <w:sz w:val="28"/>
        </w:rPr>
        <w:t>案例</w:t>
      </w:r>
      <w:bookmarkEnd w:id="10"/>
    </w:p>
    <w:p>
      <w:pPr>
        <w:spacing w:before="120" w:after="120" w:line="288" w:lineRule="auto"/>
        <w:ind w:left="0"/>
        <w:jc w:val="left"/>
      </w:pPr>
      <w:r>
        <w:rPr>
          <w:rFonts w:eastAsia="等线" w:ascii="Arial" w:cs="Arial" w:hAnsi="Arial"/>
          <w:sz w:val="22"/>
        </w:rPr>
        <w:t>在详细讲解 dQ，dK，dK 确定性梯度累加逻辑之前，介绍一个简单而典型的案例，假设输入的 b=1，n2=1，g=1 ，continuousBlockNum=1，且 Q 形状为（S1，D）=（256，128）KV 的形状都为 （S2，D）=（384，128），假设参与的 Cube 核数为 4，Vec 核数为 12（dk、dv、dq 的累加各有 4 个Vec 负责）。</w:t>
      </w:r>
    </w:p>
    <w:p>
      <w:pPr>
        <w:pStyle w:val="5"/>
        <w:spacing w:before="240" w:after="120" w:line="288" w:lineRule="auto"/>
        <w:ind w:left="0"/>
        <w:jc w:val="left"/>
        <w:outlineLvl w:val="4"/>
      </w:pPr>
      <w:bookmarkStart w:name="heading_11" w:id="11"/>
      <w:r>
        <w:rPr>
          <w:rFonts w:eastAsia="等线" w:ascii="Arial" w:cs="Arial" w:hAnsi="Arial"/>
          <w:b w:val="true"/>
          <w:sz w:val="24"/>
        </w:rPr>
        <w:t>案例的 dk 累加</w:t>
      </w:r>
      <w:bookmarkEnd w:id="11"/>
    </w:p>
    <w:p>
      <w:pPr>
        <w:spacing w:before="120" w:after="120" w:line="288" w:lineRule="auto"/>
        <w:ind w:left="0"/>
        <w:jc w:val="center"/>
      </w:pPr>
      <w:r>
        <w:drawing>
          <wp:inline distT="0" distR="0" distB="0" distL="0">
            <wp:extent cx="5257800" cy="364807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3648075"/>
                    </a:xfrm>
                    <a:prstGeom prst="rect">
                      <a:avLst/>
                    </a:prstGeom>
                  </pic:spPr>
                </pic:pic>
              </a:graphicData>
            </a:graphic>
          </wp:inline>
        </w:drawing>
      </w:r>
    </w:p>
    <w:p>
      <w:pPr>
        <w:pStyle w:val="5"/>
        <w:spacing w:before="240" w:after="120" w:line="288" w:lineRule="auto"/>
        <w:ind w:left="0"/>
        <w:jc w:val="left"/>
        <w:outlineLvl w:val="4"/>
      </w:pPr>
      <w:bookmarkStart w:name="heading_12" w:id="12"/>
      <w:r>
        <w:rPr>
          <w:rFonts w:eastAsia="等线" w:ascii="Arial" w:cs="Arial" w:hAnsi="Arial"/>
          <w:b w:val="true"/>
          <w:sz w:val="24"/>
        </w:rPr>
        <w:t xml:space="preserve"> 案例的 dq 累加</w:t>
      </w:r>
      <w:bookmarkEnd w:id="12"/>
    </w:p>
    <w:p>
      <w:pPr>
        <w:spacing w:before="120" w:after="120" w:line="288" w:lineRule="auto"/>
        <w:ind w:left="0"/>
        <w:jc w:val="center"/>
      </w:pPr>
      <w:r>
        <w:drawing>
          <wp:inline distT="0" distR="0" distB="0" distL="0">
            <wp:extent cx="5257800" cy="32385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3238500"/>
                    </a:xfrm>
                    <a:prstGeom prst="rect">
                      <a:avLst/>
                    </a:prstGeom>
                  </pic:spPr>
                </pic:pic>
              </a:graphicData>
            </a:graphic>
          </wp:inline>
        </w:drawing>
      </w:r>
    </w:p>
    <w:p>
      <w:pPr>
        <w:pStyle w:val="4"/>
        <w:spacing w:before="260" w:after="120" w:line="288" w:lineRule="auto"/>
        <w:ind w:left="0"/>
        <w:jc w:val="left"/>
        <w:outlineLvl w:val="3"/>
      </w:pPr>
      <w:bookmarkStart w:name="heading_13" w:id="13"/>
      <w:r>
        <w:rPr>
          <w:rFonts w:eastAsia="等线" w:ascii="Arial" w:cs="Arial" w:hAnsi="Arial"/>
          <w:b w:val="true"/>
          <w:sz w:val="28"/>
        </w:rPr>
        <w:t>dK、dV 梯度累加</w:t>
      </w:r>
      <w:bookmarkEnd w:id="13"/>
    </w:p>
    <w:p>
      <w:pPr>
        <w:spacing w:before="120" w:after="120" w:line="288" w:lineRule="auto"/>
        <w:ind w:left="0"/>
        <w:jc w:val="left"/>
      </w:pPr>
      <w:r>
        <w:rPr>
          <w:rFonts w:eastAsia="等线" w:ascii="Arial" w:cs="Arial" w:hAnsi="Arial"/>
          <w:sz w:val="22"/>
        </w:rPr>
        <w:t>每轮都需要对涉及到的每个 dK 块维护一个 accumList，用于记录与当前 dK 块相关的梯度分块便于后续进行累加。具体算法如下所示，对于每轮内的每个 dk 块执行如下步骤：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5550"/>
        <w:gridCol w:w="2100"/>
      </w:tblGrid>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步骤</w:t>
            </w:r>
          </w:p>
        </w:tc>
        <w:tc>
          <w:tcPr>
            <w:tcW w:w="55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操作</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作用</w:t>
            </w: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①</w:t>
            </w:r>
          </w:p>
        </w:tc>
        <w:tc>
          <w:tcPr>
            <w:tcW w:w="5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把 accumList[0] 对应核的专属区域数据 DataCopy 进 UB</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作为累加初值</w:t>
            </w: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②</w:t>
            </w:r>
          </w:p>
        </w:tc>
        <w:tc>
          <w:tcPr>
            <w:tcW w:w="5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 accumList 顺序逐个 DataCopy 进 UB，用 Add 合并</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组内定序合并（vector add）</w:t>
            </w: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③</w:t>
            </w:r>
          </w:p>
        </w:tc>
        <w:tc>
          <w:tcPr>
            <w:tcW w:w="55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合并成一份后，SetAtomicType&lt;float&gt;() + DataCopyPad 写入共享累加区</w:t>
            </w:r>
          </w:p>
        </w:tc>
        <w:tc>
          <w:tcPr>
            <w:tcW w:w="21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入账（atomic add）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① first process：装入本组第一个贡献者</w:t>
              <w:br/>
              <w:t>addTensor = accumList[0] 对应核的专属区域数据</w:t>
              <w:br/>
              <w:br/>
              <w:t># ② middle process：循环合并本组其余贡献者</w:t>
              <w:br/>
              <w:t>for i = 1 .. accumNum-1:</w:t>
              <w:br/>
              <w:t xml:space="preserve">    addTensor = Add(addTensor, accumList[i] 对应核的专属区域数据)</w:t>
              <w:br/>
              <w:br/>
              <w:t># ③ end process：一次性 atomic add 进共享累加区（无分支、无读回）</w:t>
              <w:br/>
              <w:t>SetAtomicType&lt;float&gt;()</w:t>
              <w:br/>
              <w:t>DataCopyPad(共享累加区, addTensor)</w:t>
              <w:br/>
            </w:r>
            <w:r>
              <w:rPr>
                <w:rFonts w:eastAsia="Consolas" w:ascii="Consolas" w:cs="Consolas" w:hAnsi="Consolas"/>
                <w:sz w:val="22"/>
              </w:rPr>
              <w:t>SetAtomicNone()</w:t>
            </w:r>
          </w:p>
        </w:tc>
      </w:tr>
    </w:tbl>
    <w:p>
      <w:pPr>
        <w:spacing w:before="120" w:after="120" w:line="288" w:lineRule="auto"/>
        <w:ind w:left="0"/>
        <w:jc w:val="left"/>
      </w:pPr>
      <w:r>
        <w:rPr>
          <w:rFonts w:eastAsia="等线" w:ascii="Arial" w:cs="Arial" w:hAnsi="Arial"/>
          <w:sz w:val="22"/>
        </w:rPr>
        <w:t xml:space="preserve">参考案例需要两轮计算，在 T0 轮，对于 dk(s2o=0) 的 accumList = {dk(s1o=0, s2o=0, c0), dk(s1o=1, s2o=0, c3)}，此时分配两个 Vec 核对 dk(s2o=0) 分行块执行向量加法，分别是: </w:t>
      </w:r>
    </w:p>
    <w:p>
      <w:pPr>
        <w:numPr>
          <w:numId w:val="6"/>
        </w:numPr>
        <w:spacing w:before="120" w:after="120" w:line="288" w:lineRule="auto"/>
        <w:ind w:left="0"/>
        <w:jc w:val="left"/>
      </w:pPr>
      <w:r>
        <w:rPr>
          <w:rFonts w:eastAsia="等线" w:ascii="Arial" w:cs="Arial" w:hAnsi="Arial"/>
          <w:sz w:val="22"/>
        </w:rPr>
        <w:t>v0: dk(s2o=0, rblk=0)=dk(s1o=0, s2o=0, c0, rblk=0) + dk(s1o=1, s2o=0, c3, rblk=0)</w:t>
      </w:r>
    </w:p>
    <w:p>
      <w:pPr>
        <w:numPr>
          <w:numId w:val="7"/>
        </w:numPr>
        <w:spacing w:before="120" w:after="120" w:line="288" w:lineRule="auto"/>
        <w:ind w:left="0"/>
        <w:jc w:val="left"/>
      </w:pPr>
      <w:r>
        <w:rPr>
          <w:rFonts w:eastAsia="等线" w:ascii="Arial" w:cs="Arial" w:hAnsi="Arial"/>
          <w:sz w:val="22"/>
        </w:rPr>
        <w:t>v1: dk(s2o=0,rblk=1)=dk(s1o=0, s2o=0, c0, rblk=1) + dk(s1o=1, s2o=0, c3, rblk=1)。</w:t>
      </w:r>
    </w:p>
    <w:p>
      <w:pPr>
        <w:spacing w:before="120" w:after="120" w:line="288" w:lineRule="auto"/>
        <w:ind w:left="0"/>
        <w:jc w:val="left"/>
      </w:pPr>
      <w:r>
        <w:rPr>
          <w:rFonts w:eastAsia="等线" w:ascii="Arial" w:cs="Arial" w:hAnsi="Arial"/>
          <w:sz w:val="22"/>
        </w:rPr>
        <w:t>对于 dk(s2o=1) 和 dk(s2o=2) 的 accumList = {dk(s1o=0, s2o=1, c1)} 和 accumList = {dk(s1o=0, s2o=2, c2)}，同样执行步骤通过 Atomic Add 到 dk(s2o=1) 和 dk(s2o=2)。</w:t>
      </w:r>
    </w:p>
    <w:p>
      <w:pPr>
        <w:spacing w:before="120" w:after="120" w:line="288" w:lineRule="auto"/>
        <w:ind w:left="0"/>
        <w:jc w:val="center"/>
      </w:pPr>
      <w:r>
        <w:drawing>
          <wp:inline distT="0" distR="0" distB="0" distL="0">
            <wp:extent cx="5257800" cy="32480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32480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到了 T1 轮，dk(s2o=0) 已经结束没有 accumList，对于 dk(s2o=1) 和 dk(s2o=2) 的 accumList = {dk(s1o=1, s2o=1, c0)} 和 accumList = {dk(s1o=1, s2o=2, c1)}，同样执行步骤通过 Atomic Add 到 dk(s2o=1) 和 dk(s2o=2)。</w:t>
      </w:r>
    </w:p>
    <w:p>
      <w:pPr>
        <w:spacing w:before="120" w:after="120" w:line="288" w:lineRule="auto"/>
        <w:ind w:left="0"/>
        <w:jc w:val="center"/>
      </w:pPr>
      <w:r>
        <w:drawing>
          <wp:inline distT="0" distR="0" distB="0" distL="0">
            <wp:extent cx="5257800" cy="25717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5717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dV 的累加逻辑与 dK 一致，不再赘述。</w:t>
      </w:r>
    </w:p>
    <w:p>
      <w:pPr>
        <w:pStyle w:val="4"/>
        <w:spacing w:before="260" w:after="120" w:line="288" w:lineRule="auto"/>
        <w:ind w:left="0"/>
        <w:jc w:val="left"/>
        <w:outlineLvl w:val="3"/>
      </w:pPr>
      <w:bookmarkStart w:name="heading_14" w:id="14"/>
      <w:r>
        <w:rPr>
          <w:rFonts w:eastAsia="等线" w:ascii="Arial" w:cs="Arial" w:hAnsi="Arial"/>
          <w:b w:val="true"/>
          <w:sz w:val="28"/>
        </w:rPr>
        <w:t>dQ 梯度累加</w:t>
      </w:r>
      <w:bookmarkEnd w:id="14"/>
    </w:p>
    <w:p>
      <w:pPr>
        <w:spacing w:before="120" w:after="120" w:line="288" w:lineRule="auto"/>
        <w:ind w:left="0"/>
        <w:jc w:val="left"/>
      </w:pPr>
      <w:r>
        <w:rPr>
          <w:rFonts w:eastAsia="等线" w:ascii="Arial" w:cs="Arial" w:hAnsi="Arial"/>
          <w:sz w:val="22"/>
        </w:rPr>
        <w:t>当 dqPostAbsorb=0 时，dQ 梯度累加逻辑与 dK 一致；而当 dqPostAbsorb=1 时，使用独立逻辑进行计算。</w:t>
      </w:r>
    </w:p>
    <w:p>
      <w:pPr>
        <w:spacing w:before="120" w:after="120" w:line="288" w:lineRule="auto"/>
        <w:ind w:left="0"/>
        <w:jc w:val="left"/>
      </w:pPr>
      <w:r>
        <w:rPr>
          <w:rFonts w:eastAsia="等线" w:ascii="Arial" w:cs="Arial" w:hAnsi="Arial"/>
          <w:sz w:val="22"/>
        </w:rPr>
        <w:t>dq 沿 S2 方向累加，调度时能静态判断某个 dq 块在 S2 方向的起点和终点：</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5265"/>
        <w:gridCol w:w="1665"/>
      </w:tblGrid>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标记</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置 1 的条件</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含义</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existFirstBlock</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组里包含 s2Idx == 0 的块</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该 dQ 块的第一笔贡献</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existLastBlock</w:t>
            </w:r>
          </w:p>
        </w:tc>
        <w:tc>
          <w:tcPr>
            <w:tcW w:w="5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组里包含 s2Idx + recoderS == S2 的块（当有 causal mask等条件时，另有边界判断）</w:t>
            </w:r>
          </w:p>
        </w:tc>
        <w:tc>
          <w:tcPr>
            <w:tcW w:w="16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最后一笔贡献</w:t>
            </w:r>
          </w:p>
        </w:tc>
      </w:tr>
    </w:tbl>
    <w:p>
      <w:pPr>
        <w:spacing w:before="120" w:after="120" w:line="288" w:lineRule="auto"/>
        <w:ind w:left="0"/>
        <w:jc w:val="left"/>
      </w:pPr>
      <w:r>
        <w:rPr>
          <w:rFonts w:eastAsia="等线" w:ascii="Arial" w:cs="Arial" w:hAnsi="Arial"/>
          <w:b w:val="true"/>
          <w:sz w:val="22"/>
        </w:rPr>
        <w:t>进入下面的收尾分支之前，本组 accumList 里的所有块已经通过 vector Add 合并成一份 addTensor；四个分支处理的都只是这一份合并结果如何落到共享累加区或最终输出</w:t>
      </w:r>
      <w:r>
        <w:rPr>
          <w:rFonts w:eastAsia="等线" w:ascii="Arial" w:cs="Arial" w:hAnsi="Arial"/>
          <w:sz w:val="22"/>
        </w:rPr>
        <w:t>。按 existLastBlock / existFirstBlock 的取值分四个分支。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00"/>
        <w:gridCol w:w="2250"/>
        <w:gridCol w:w="4215"/>
      </w:tblGrid>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分支</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条件</w:t>
            </w:r>
          </w:p>
        </w:tc>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分支动作</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① 最后一块（无第一块）</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existLastBlock=1, existFirstBlock=0</w:t>
            </w:r>
          </w:p>
        </w:tc>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从缓冲区</w:t>
            </w:r>
            <w:r>
              <w:rPr>
                <w:rFonts w:eastAsia="等线" w:ascii="Arial" w:cs="Arial" w:hAnsi="Arial"/>
                <w:b w:val="true"/>
                <w:sz w:val="22"/>
              </w:rPr>
              <w:t>读回</w:t>
            </w:r>
            <w:r>
              <w:rPr>
                <w:rFonts w:eastAsia="等线" w:ascii="Arial" w:cs="Arial" w:hAnsi="Arial"/>
                <w:sz w:val="22"/>
              </w:rPr>
              <w:t>旧值作为右操作数 Add（旧值最后加）→ Muls(scale) + Cast → 直接写最终输出</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② 最后一块（也有第一块）</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existLastBlock=1, existFirstBlock=1</w:t>
            </w:r>
          </w:p>
        </w:tc>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本组已包含全部贡献，</w:t>
            </w:r>
            <w:r>
              <w:rPr>
                <w:rFonts w:eastAsia="等线" w:ascii="Arial" w:cs="Arial" w:hAnsi="Arial"/>
                <w:b w:val="true"/>
                <w:sz w:val="22"/>
              </w:rPr>
              <w:t>跳过读回</w:t>
            </w:r>
            <w:r>
              <w:rPr>
                <w:rFonts w:eastAsia="等线" w:ascii="Arial" w:cs="Arial" w:hAnsi="Arial"/>
                <w:sz w:val="22"/>
              </w:rPr>
              <w:t>，直接 Muls(scale) + Cast → 写</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③ 第一块（无最后一块）</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existFirstBlock=1, existLastBlock=0</w:t>
            </w:r>
          </w:p>
        </w:tc>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合并结果直接</w:t>
            </w:r>
            <w:r>
              <w:rPr>
                <w:rFonts w:eastAsia="等线" w:ascii="Arial" w:cs="Arial" w:hAnsi="Arial"/>
                <w:b w:val="true"/>
                <w:sz w:val="22"/>
              </w:rPr>
              <w:t>覆盖写</w:t>
            </w:r>
            <w:r>
              <w:rPr>
                <w:rFonts w:eastAsia="等线" w:ascii="Arial" w:cs="Arial" w:hAnsi="Arial"/>
                <w:sz w:val="22"/>
              </w:rPr>
              <w:t>缓冲区（第一笔，无需读旧值，也不用 atomic add）</w:t>
            </w:r>
          </w:p>
        </w:tc>
      </w:tr>
      <w:tr>
        <w:tc>
          <w:tcPr>
            <w:tcW w:w="18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④ 中间块</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existFirstBlock=0, existLastBlock=0 </w:t>
            </w:r>
          </w:p>
        </w:tc>
        <w:tc>
          <w:tcPr>
            <w:tcW w:w="42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合并结果 </w:t>
            </w:r>
            <w:r>
              <w:rPr>
                <w:rFonts w:eastAsia="等线" w:ascii="Arial" w:cs="Arial" w:hAnsi="Arial"/>
                <w:b w:val="true"/>
                <w:sz w:val="22"/>
              </w:rPr>
              <w:t>atomic add</w:t>
            </w:r>
            <w:r>
              <w:rPr>
                <w:rFonts w:eastAsia="等线" w:ascii="Arial" w:cs="Arial" w:hAnsi="Arial"/>
                <w:sz w:val="22"/>
              </w:rPr>
              <w:t xml:space="preserve"> 进缓冲区 </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① first process：装入本组第一个贡献者</w:t>
              <w:br/>
              <w:t>addTensor = accumList[0] 对应核的专属区域数据</w:t>
              <w:br/>
              <w:br/>
              <w:t># ② middle process：循环合并本组其余贡献者（本组所有块都在这里加完）</w:t>
              <w:br/>
              <w:t>for i = 1 .. accumNum-1:</w:t>
              <w:br/>
              <w:t xml:space="preserve">    addTensor = Add(addTensor, accumList[i] 对应核的专属区域数据)</w:t>
              <w:br/>
              <w:br/>
              <w:t># ③ end process：四个分支收尾（无循环，只处理共享累加区旧值这一笔）</w:t>
              <w:br/>
              <w:t>if existLastBlock == 1:</w:t>
              <w:br/>
              <w:t xml:space="preserve">    if existFirstBlock == 0:                       # 分支①：最后一块（无第一块）</w:t>
              <w:br/>
              <w:t xml:space="preserve">        addTensor = Add(addTensor, 读回共享累加区旧值)   # 旧值作为右操作数，最后加</w:t>
              <w:br/>
              <w:t xml:space="preserve">    # 分支②：最后一块也有第一块时，跳过上面的读回，直接走到这里</w:t>
              <w:br/>
              <w:t xml:space="preserve">    addCast = Cast(Muls(addTensor, scale))</w:t>
              <w:br/>
              <w:t xml:space="preserve">    写 dqGm                                       # 分支①②共同：直接输出最终 dQ</w:t>
              <w:br/>
              <w:t>elif existFirstBlock == 1:                        # 分支③：第一块（无最后一块）</w:t>
              <w:br/>
              <w:t xml:space="preserve">    覆盖写 共享累加区 = addTensor</w:t>
              <w:br/>
              <w:t>else:                                             # 分支④：中间块</w:t>
              <w:br/>
            </w:r>
            <w:r>
              <w:rPr>
                <w:rFonts w:eastAsia="Consolas" w:ascii="Consolas" w:cs="Consolas" w:hAnsi="Consolas"/>
                <w:sz w:val="22"/>
              </w:rPr>
              <w:t xml:space="preserve">    atomic add 共享累加区 += addTensor</w:t>
            </w:r>
          </w:p>
        </w:tc>
      </w:tr>
    </w:tbl>
    <w:p>
      <w:pPr>
        <w:spacing w:before="120" w:after="120" w:line="288" w:lineRule="auto"/>
        <w:ind w:left="0"/>
        <w:jc w:val="left"/>
      </w:pPr>
      <w:r>
        <w:rPr>
          <w:rFonts w:eastAsia="等线" w:ascii="Arial" w:cs="Arial" w:hAnsi="Arial"/>
          <w:sz w:val="22"/>
        </w:rPr>
        <w:t xml:space="preserve">同样，在 T0 轮，对于 dq(s1o=0) 的 accumList = {dq(s1o=0, s2o=0, c0), dq(s1o=0, s2o=1, c1), dq(s1o=0, s2o=2, c2)}，此时分配两个 Vec 核对 dq(s1o=0) 分行块执行向量加法，分别是: </w:t>
      </w:r>
    </w:p>
    <w:p>
      <w:pPr>
        <w:numPr>
          <w:numId w:val="8"/>
        </w:numPr>
        <w:spacing w:before="120" w:after="120" w:line="288" w:lineRule="auto"/>
        <w:ind w:left="0"/>
        <w:jc w:val="left"/>
      </w:pPr>
      <w:r>
        <w:rPr>
          <w:rFonts w:eastAsia="等线" w:ascii="Arial" w:cs="Arial" w:hAnsi="Arial"/>
          <w:sz w:val="22"/>
        </w:rPr>
        <w:t>v0: dq(s1o=0, rblk=0)=dq(s1o=0, s2o=0, c0, rblk=0) + dq(s1o=0, s2o=1, c1, rblk=0) + dq(s1o=0, s2o=2, c1, rblk=0)</w:t>
      </w:r>
    </w:p>
    <w:p>
      <w:pPr>
        <w:numPr>
          <w:numId w:val="9"/>
        </w:numPr>
        <w:spacing w:before="120" w:after="120" w:line="288" w:lineRule="auto"/>
        <w:ind w:left="0"/>
        <w:jc w:val="left"/>
      </w:pPr>
      <w:r>
        <w:rPr>
          <w:rFonts w:eastAsia="等线" w:ascii="Arial" w:cs="Arial" w:hAnsi="Arial"/>
          <w:sz w:val="22"/>
        </w:rPr>
        <w:t>v1: dq(s1o=0, rblk=1)=dq(s1o=0, s2o=0, c0, rblk=1) + dq(s1o=0, s2o=1, c1, rblk=1) + dq(s1o=0, s2o=2, c2, rblk=1)</w:t>
      </w:r>
    </w:p>
    <w:p>
      <w:pPr>
        <w:spacing w:before="120" w:after="120" w:line="288" w:lineRule="auto"/>
        <w:ind w:left="0"/>
        <w:jc w:val="left"/>
      </w:pPr>
      <w:r>
        <w:rPr>
          <w:rFonts w:eastAsia="等线" w:ascii="Arial" w:cs="Arial" w:hAnsi="Arial"/>
          <w:sz w:val="22"/>
        </w:rPr>
        <w:t>由于同时存在首块和尾块，也就意味着已经完成了 dq(s1o=0) 的累加，因此这里直接 Mul + Cast + DataCopy 到 dQGm 中即可，不需要经过 dQWorkSpaceGm。</w:t>
      </w:r>
    </w:p>
    <w:p>
      <w:pPr>
        <w:spacing w:before="120" w:after="120" w:line="288" w:lineRule="auto"/>
        <w:ind w:left="0"/>
        <w:jc w:val="left"/>
      </w:pPr>
      <w:r>
        <w:rPr>
          <w:rFonts w:eastAsia="等线" w:ascii="Arial" w:cs="Arial" w:hAnsi="Arial"/>
          <w:sz w:val="22"/>
        </w:rPr>
        <w:t>对于 dq(s1o=1) 的 accumList = {dq(s1o=0, s2o=0, c3)}，由于仅存在首块且没有算完，直接执行 DataCopy 拷贝到 dQWorkSpaceGm 中。</w:t>
      </w:r>
    </w:p>
    <w:p>
      <w:pPr>
        <w:spacing w:before="120" w:after="120" w:line="288" w:lineRule="auto"/>
        <w:ind w:left="0"/>
        <w:jc w:val="center"/>
      </w:pPr>
      <w:r>
        <w:drawing>
          <wp:inline distT="0" distR="0" distB="0" distL="0">
            <wp:extent cx="5257800" cy="34194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3419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到了 T1 轮，dq(s1o=0) 已经结束没有 accumList，对于 dq(s1o=1) 的 accumList = {dq(s1o=1, s2o=1, c0), dq(s1o=1, s2o=2, c1)}，此时属于分支 ①，先完成 accumList 内分块的向量加，再与 dQWorkSpaceGm 上的数据进行向量加，同样分配两个 VEC 核对梯度分块分行块累加，完成累加后也是直接 Mul + Cast+ DataCopy 写入dQGm 中。</w:t>
      </w:r>
    </w:p>
    <w:p>
      <w:pPr>
        <w:spacing w:before="120" w:after="120" w:line="288" w:lineRule="auto"/>
        <w:ind w:left="0"/>
        <w:jc w:val="center"/>
      </w:pPr>
      <w:r>
        <w:drawing>
          <wp:inline distT="0" distR="0" distB="0" distL="0">
            <wp:extent cx="5257800" cy="263842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638425"/>
                    </a:xfrm>
                    <a:prstGeom prst="rect">
                      <a:avLst/>
                    </a:prstGeom>
                  </pic:spPr>
                </pic:pic>
              </a:graphicData>
            </a:graphic>
          </wp:inline>
        </w:drawing>
      </w:r>
    </w:p>
    <w:p>
      <w:pPr>
        <w:pStyle w:val="3"/>
        <w:spacing w:before="300" w:after="120" w:line="288" w:lineRule="auto"/>
        <w:ind w:left="0"/>
        <w:jc w:val="left"/>
        <w:outlineLvl w:val="2"/>
      </w:pPr>
      <w:bookmarkStart w:name="heading_15" w:id="15"/>
      <w:r>
        <w:rPr>
          <w:rFonts w:eastAsia="等线" w:ascii="Arial" w:cs="Arial" w:hAnsi="Arial"/>
          <w:b w:val="true"/>
          <w:sz w:val="30"/>
        </w:rPr>
        <w:t>Tiling 切分</w:t>
      </w:r>
      <w:bookmarkEnd w:id="15"/>
    </w:p>
    <w:p>
      <w:pPr>
        <w:numPr>
          <w:numId w:val="10"/>
        </w:numPr>
        <w:spacing w:before="120" w:after="120" w:line="288" w:lineRule="auto"/>
        <w:ind w:left="0"/>
        <w:jc w:val="left"/>
      </w:pPr>
      <w:r>
        <w:rPr>
          <w:rFonts w:eastAsia="等线" w:ascii="Arial" w:cs="Arial" w:hAnsi="Arial"/>
          <w:sz w:val="22"/>
        </w:rPr>
        <w:t xml:space="preserve">数据布局保持 [T, N, D] 交错，GM 行步长 = headNum × headDim，per-task 实际访存为 BLOCK_SIZE × head_dim 的跨步。 </w:t>
      </w:r>
    </w:p>
    <w:p>
      <w:pPr>
        <w:numPr>
          <w:numId w:val="11"/>
        </w:numPr>
        <w:spacing w:before="120" w:after="120" w:line="288" w:lineRule="auto"/>
        <w:ind w:left="0"/>
        <w:jc w:val="left"/>
      </w:pPr>
      <w:r>
        <w:rPr>
          <w:rFonts w:eastAsia="等线" w:ascii="Arial" w:cs="Arial" w:hAnsi="Arial"/>
          <w:sz w:val="22"/>
        </w:rPr>
        <w:t>对于 Cube345 的计算，与非确定性分支使用b-&gt;n2-&gt;s2-&gt;g-&gt;s1的轴序循环不同，确定性分支使用b-&gt;n2-&gt;g-&gt;s1-&gt;s2的轴序进行循环分块。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 非确定性方案</w:t>
              <w:br/>
              <w:t>for batch:</w:t>
              <w:br/>
              <w:t>for n2 in kvHeadNum:</w:t>
              <w:br/>
              <w:t xml:space="preserve">  for s2Block:   # 外：kv 方向</w:t>
              <w:br/>
              <w:t xml:space="preserve">    for g in groupSize:</w:t>
              <w:br/>
              <w:t xml:space="preserve">      for s1Block in [0, LastValidS1Block(s2Block)]:   # 内：q 方向，causal 时截断</w:t>
              <w:br/>
              <w:t xml:space="preserve">          # ...</w:t>
              <w:br/>
              <w:t xml:space="preserve">              </w:t>
              <w:br/>
              <w:t># 确定性方案</w:t>
              <w:br/>
              <w:t>for batch:</w:t>
              <w:br/>
              <w:t xml:space="preserve">for n2 in kvHeadNum:                           </w:t>
              <w:br/>
              <w:t xml:space="preserve">  for g in groupSize:</w:t>
              <w:br/>
              <w:t xml:space="preserve">    for s1Block:            # 外：q 方向                                                                                                                                                                                                                                                                         </w:t>
              <w:br/>
              <w:t xml:space="preserve">      for s2Block in [0, LastValidS2Block(s1Block)]:   # 内：kv 方向，causal 时截断</w:t>
              <w:br/>
            </w:r>
            <w:r>
              <w:rPr>
                <w:rFonts w:eastAsia="Consolas" w:ascii="Consolas" w:cs="Consolas" w:hAnsi="Consolas"/>
                <w:sz w:val="22"/>
              </w:rPr>
              <w:t xml:space="preserve">          # ...</w:t>
            </w:r>
          </w:p>
        </w:tc>
      </w:tr>
    </w:tbl>
    <w:p>
      <w:pPr>
        <w:pStyle w:val="3"/>
        <w:spacing w:before="300" w:after="120" w:line="288" w:lineRule="auto"/>
        <w:ind w:left="0"/>
        <w:jc w:val="left"/>
        <w:outlineLvl w:val="2"/>
      </w:pPr>
      <w:bookmarkStart w:name="heading_16" w:id="16"/>
      <w:r>
        <w:rPr>
          <w:rFonts w:eastAsia="等线" w:ascii="Arial" w:cs="Arial" w:hAnsi="Arial"/>
          <w:b w:val="true"/>
          <w:sz w:val="30"/>
        </w:rPr>
        <w:t>分核策略</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7275"/>
      </w:tblGrid>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要素</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策略</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分配方式</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静态分波，无动态调度</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wave 大小 </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usedCoreNum × continuousBlockNum，continuousBlockNum = 2</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每核每轮</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连续 continuousBlockNum 个任务 id（blockBegin = round × waveSize + coreIdx × continuousBlockNum）</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流水深度</w:t>
            </w:r>
          </w:p>
        </w:tc>
        <w:tc>
          <w:tcPr>
            <w:tcW w:w="7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2（任务 i 的 C12 与任务 i−1 的 Vec12/C345 重叠）</w:t>
            </w:r>
          </w:p>
        </w:tc>
      </w:tr>
    </w:tbl>
    <w:p>
      <w:pPr>
        <w:pStyle w:val="3"/>
        <w:spacing w:before="300" w:after="120" w:line="288" w:lineRule="auto"/>
        <w:ind w:left="0"/>
        <w:jc w:val="left"/>
        <w:outlineLvl w:val="2"/>
      </w:pPr>
      <w:bookmarkStart w:name="heading_17" w:id="17"/>
      <w:r>
        <w:rPr>
          <w:rFonts w:eastAsia="等线" w:ascii="Arial" w:cs="Arial" w:hAnsi="Arial"/>
          <w:b w:val="true"/>
          <w:sz w:val="30"/>
        </w:rPr>
        <w:t>片上内存资源设计</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2925"/>
        <w:gridCol w:w="3585"/>
      </w:tblGrid>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WorkSpace</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Size(fp32)</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介绍</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dqDetWorkSpaceGm_</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cubeCoreNum * continuousBlockNum * BLOCK_S1 * Dqk * sizeof(float)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暂存确定性算法中每个 cube 输出的 dq 梯度分块矩阵</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dkDetWorkSpaceGm_</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cubeCoreNum * continuousBlockNum * BLOCK_S2 * Dqk * sizeof(float)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暂存确定性算法中每个 cube 输出的 dk 梯度分块矩阵</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dvDetWorkSpaceGm_</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cubeCoreNum * continuousBlockNum * BLOCK_S2 * Dv * sizeof(float)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暂存确定性算法中每个 cube 输出的 dv 梯度分块矩阵</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dqWorkSpaceGm_</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S1 * N1 * Dqk / BLOCK_S1 * Dqk * sizeof(float)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dq 梯度缓冲区：</w:t>
            </w:r>
          </w:p>
          <w:p>
            <w:pPr>
              <w:spacing w:before="120" w:after="120" w:line="288" w:lineRule="auto"/>
              <w:ind w:left="0"/>
              <w:jc w:val="left"/>
            </w:pPr>
            <w:r>
              <w:rPr>
                <w:rFonts w:eastAsia="等线" w:ascii="Arial" w:cs="Arial" w:hAnsi="Arial"/>
                <w:sz w:val="22"/>
              </w:rPr>
              <w:t xml:space="preserve">当 dqPostAbsorb=1，Size=BLOCK_S1 * Dqk; </w:t>
            </w:r>
          </w:p>
          <w:p>
            <w:pPr>
              <w:spacing w:before="120" w:after="120" w:line="288" w:lineRule="auto"/>
              <w:ind w:left="0"/>
              <w:jc w:val="left"/>
            </w:pPr>
            <w:r>
              <w:rPr>
                <w:rFonts w:eastAsia="等线" w:ascii="Arial" w:cs="Arial" w:hAnsi="Arial"/>
                <w:sz w:val="22"/>
              </w:rPr>
              <w:t xml:space="preserve">当 dqPostAbsorb=0，Size=S1 * N1 * Dqk; </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dkWorkspaceGm_</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S2 * N2 * Dqk * sizeof(float)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dk 梯度缓冲区</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dvWorkspaceGm_</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S2 * N2 * Dv * sizeof(float)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dv 梯度缓冲区</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BLOCK_S1</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 * sizeof(float)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 分块的大小</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BLOCK_S2</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128 * sizeof(float)</w:t>
            </w:r>
          </w:p>
        </w:tc>
        <w:tc>
          <w:tcPr>
            <w:tcW w:w="3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KV 分块的大小</w:t>
            </w:r>
          </w:p>
        </w:tc>
      </w:tr>
    </w:tbl>
    <w:p>
      <w:pPr>
        <w:pStyle w:val="4"/>
        <w:spacing w:before="260" w:after="120" w:line="288" w:lineRule="auto"/>
        <w:ind w:left="0"/>
        <w:jc w:val="left"/>
        <w:outlineLvl w:val="3"/>
      </w:pPr>
      <w:bookmarkStart w:name="heading_18" w:id="18"/>
      <w:r>
        <w:rPr>
          <w:rFonts w:eastAsia="等线" w:ascii="Arial" w:cs="Arial" w:hAnsi="Arial"/>
          <w:b w:val="true"/>
          <w:sz w:val="28"/>
        </w:rPr>
        <w:t xml:space="preserve"> 当 dqPostAbsorb=1 时，dqWorkSpaceGm_ 可以仅为 BLOCK_S1 * Dqk？</w:t>
      </w:r>
      <w:bookmarkEnd w:id="18"/>
    </w:p>
    <w:p>
      <w:pPr>
        <w:spacing w:before="120" w:after="120" w:line="288" w:lineRule="auto"/>
        <w:ind w:left="0"/>
        <w:jc w:val="left"/>
      </w:pPr>
      <w:r>
        <w:rPr>
          <w:rFonts w:eastAsia="等线" w:ascii="Arial" w:cs="Arial" w:hAnsi="Arial"/>
          <w:sz w:val="22"/>
        </w:rPr>
        <w:t>因为 Q 是外循环，所以每轮计算结束后，没有算完的 dq 分块数量仅有两种可能，第一种是 0，也就是说当前轮所有核负责的梯度分块，覆盖了涉及到的 dq 分块的所有累加块；第二种是 1，未覆盖所有的累加块，但是由于分配时严格按照 kv 内循环的顺序分块分配，最多仅余一块没有算完。因此 BLOCK_S1 * Dqk 容量是足够的。</w:t>
      </w:r>
    </w:p>
    <w:p>
      <w:pPr>
        <w:pStyle w:val="3"/>
        <w:spacing w:before="300" w:after="120" w:line="288" w:lineRule="auto"/>
        <w:ind w:left="0"/>
        <w:jc w:val="left"/>
        <w:outlineLvl w:val="2"/>
      </w:pPr>
      <w:bookmarkStart w:name="heading_19" w:id="19"/>
      <w:r>
        <w:rPr>
          <w:rFonts w:eastAsia="等线" w:ascii="Arial" w:cs="Arial" w:hAnsi="Arial"/>
          <w:b w:val="true"/>
          <w:sz w:val="30"/>
        </w:rPr>
        <w:t>流水设计</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非确定性方案的流水设计</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5"/>
        <w:gridCol w:w="420"/>
        <w:gridCol w:w="480"/>
        <w:gridCol w:w="540"/>
        <w:gridCol w:w="465"/>
        <w:gridCol w:w="495"/>
        <w:gridCol w:w="555"/>
        <w:gridCol w:w="555"/>
        <w:gridCol w:w="555"/>
        <w:gridCol w:w="555"/>
        <w:gridCol w:w="555"/>
        <w:gridCol w:w="555"/>
        <w:gridCol w:w="555"/>
        <w:gridCol w:w="555"/>
        <w:gridCol w:w="555"/>
        <w:gridCol w:w="600"/>
      </w:tblGrid>
      <w:tr>
        <w:tc>
          <w:tcPr>
            <w:tcW w:w="315" w:type="dxa"/>
            <w:vMerge w:val="restart"/>
            <w:tcMar>
              <w:top w:type="dxa" w:w="60"/>
              <w:left w:type="dxa" w:w="120"/>
              <w:bottom w:type="dxa" w:w="30"/>
              <w:right w:type="dxa" w:w="120"/>
            </w:tcMar>
          </w:tcPr>
          <w:p>
            <w:pPr>
              <w:spacing w:before="120" w:after="120" w:line="288" w:lineRule="auto"/>
              <w:ind w:left="0"/>
              <w:jc w:val="center"/>
            </w:pPr>
          </w:p>
        </w:tc>
        <w:tc>
          <w:tcPr>
            <w:tcW w:w="35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R0</w:t>
            </w:r>
          </w:p>
        </w:tc>
        <w:tc>
          <w:tcPr>
            <w:tcW w:w="480" w:type="dxa"/>
            <w:hMerge w:val="continue"/>
            <w:tcMar>
              <w:top w:type="dxa" w:w="60"/>
              <w:left w:type="dxa" w:w="120"/>
              <w:bottom w:type="dxa" w:w="30"/>
              <w:right w:type="dxa" w:w="120"/>
            </w:tcMar>
          </w:tcPr>
          <w:p>
            <w:pPr>
              <w:spacing w:before="120" w:after="120" w:line="288" w:lineRule="auto"/>
              <w:ind w:left="0"/>
              <w:jc w:val="center"/>
            </w:pPr>
          </w:p>
        </w:tc>
        <w:tc>
          <w:tcPr>
            <w:tcW w:w="540" w:type="dxa"/>
            <w:hMerge w:val="continue"/>
            <w:tcMar>
              <w:top w:type="dxa" w:w="60"/>
              <w:left w:type="dxa" w:w="120"/>
              <w:bottom w:type="dxa" w:w="30"/>
              <w:right w:type="dxa" w:w="120"/>
            </w:tcMar>
          </w:tcPr>
          <w:p>
            <w:pPr>
              <w:spacing w:before="120" w:after="120" w:line="288" w:lineRule="auto"/>
              <w:ind w:left="0"/>
              <w:jc w:val="center"/>
            </w:pPr>
          </w:p>
        </w:tc>
        <w:tc>
          <w:tcPr>
            <w:tcW w:w="465" w:type="dxa"/>
            <w:hMerge w:val="continue"/>
            <w:tcMar>
              <w:top w:type="dxa" w:w="60"/>
              <w:left w:type="dxa" w:w="120"/>
              <w:bottom w:type="dxa" w:w="30"/>
              <w:right w:type="dxa" w:w="120"/>
            </w:tcMar>
          </w:tcPr>
          <w:p>
            <w:pPr>
              <w:spacing w:before="120" w:after="120" w:line="288" w:lineRule="auto"/>
              <w:ind w:left="0"/>
              <w:jc w:val="center"/>
            </w:pPr>
          </w:p>
        </w:tc>
        <w:tc>
          <w:tcPr>
            <w:tcW w:w="495" w:type="dxa"/>
            <w:hMerge w:val="continue"/>
            <w:tcMar>
              <w:top w:type="dxa" w:w="60"/>
              <w:left w:type="dxa" w:w="120"/>
              <w:bottom w:type="dxa" w:w="30"/>
              <w:right w:type="dxa" w:w="120"/>
            </w:tcMar>
          </w:tcPr>
          <w:p>
            <w:pPr>
              <w:spacing w:before="120" w:after="120" w:line="288" w:lineRule="auto"/>
              <w:ind w:left="0"/>
              <w:jc w:val="center"/>
            </w:pP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448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R1</w:t>
            </w: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600" w:type="dxa"/>
            <w:hMerge w:val="continue"/>
            <w:tcMar>
              <w:top w:type="dxa" w:w="60"/>
              <w:left w:type="dxa" w:w="120"/>
              <w:bottom w:type="dxa" w:w="30"/>
              <w:right w:type="dxa" w:w="120"/>
            </w:tcMar>
          </w:tcPr>
          <w:p>
            <w:pPr>
              <w:spacing w:before="120" w:after="120" w:line="288" w:lineRule="auto"/>
              <w:ind w:left="0"/>
              <w:jc w:val="center"/>
            </w:pPr>
          </w:p>
        </w:tc>
      </w:tr>
      <w:tr>
        <w:tc>
          <w:tcPr>
            <w:tcW w:w="315" w:type="dxa"/>
            <w:vMerge w:val="continue"/>
            <w:tcMar>
              <w:top w:type="dxa" w:w="60"/>
              <w:left w:type="dxa" w:w="120"/>
              <w:bottom w:type="dxa" w:w="30"/>
              <w:right w:type="dxa" w:w="120"/>
            </w:tcMar>
          </w:tcPr>
          <w:p>
            <w:pPr>
              <w:spacing w:before="120" w:after="120" w:line="288" w:lineRule="auto"/>
              <w:ind w:left="0"/>
              <w:jc w:val="center"/>
            </w:pPr>
          </w:p>
        </w:tc>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T0</w:t>
            </w:r>
          </w:p>
        </w:tc>
        <w:tc>
          <w:tcPr>
            <w:tcW w:w="10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540" w:type="dxa"/>
            <w:hMerge w:val="continue"/>
            <w:tcMar>
              <w:top w:type="dxa" w:w="60"/>
              <w:left w:type="dxa" w:w="120"/>
              <w:bottom w:type="dxa" w:w="30"/>
              <w:right w:type="dxa" w:w="120"/>
            </w:tcMar>
          </w:tcPr>
          <w:p>
            <w:pPr>
              <w:spacing w:before="120" w:after="120" w:line="288" w:lineRule="auto"/>
              <w:ind w:left="0"/>
              <w:jc w:val="center"/>
            </w:pPr>
          </w:p>
        </w:tc>
        <w:tc>
          <w:tcPr>
            <w:tcW w:w="9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495" w:type="dxa"/>
            <w:hMerge w:val="continue"/>
            <w:tcMar>
              <w:top w:type="dxa" w:w="60"/>
              <w:left w:type="dxa" w:w="120"/>
              <w:bottom w:type="dxa" w:w="30"/>
              <w:right w:type="dxa" w:w="120"/>
            </w:tcMar>
          </w:tcPr>
          <w:p>
            <w:pPr>
              <w:spacing w:before="120" w:after="120" w:line="288" w:lineRule="auto"/>
              <w:ind w:left="0"/>
              <w:jc w:val="center"/>
            </w:pPr>
          </w:p>
        </w:tc>
        <w:tc>
          <w:tcPr>
            <w:tcW w:w="11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w:t>
            </w: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11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T0</w:t>
            </w: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11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111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555" w:type="dxa"/>
            <w:hMerge w:val="continue"/>
            <w:tcMar>
              <w:top w:type="dxa" w:w="60"/>
              <w:left w:type="dxa" w:w="120"/>
              <w:bottom w:type="dxa" w:w="30"/>
              <w:right w:type="dxa" w:w="120"/>
            </w:tcMar>
          </w:tcPr>
          <w:p>
            <w:pPr>
              <w:spacing w:before="120" w:after="120" w:line="288" w:lineRule="auto"/>
              <w:ind w:left="0"/>
              <w:jc w:val="center"/>
            </w:pPr>
          </w:p>
        </w:tc>
        <w:tc>
          <w:tcPr>
            <w:tcW w:w="115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T3（Drawn）</w:t>
            </w:r>
          </w:p>
        </w:tc>
        <w:tc>
          <w:tcPr>
            <w:tcW w:w="600" w:type="dxa"/>
            <w:hMerge w:val="continue"/>
            <w:tcMar>
              <w:top w:type="dxa" w:w="60"/>
              <w:left w:type="dxa" w:w="120"/>
              <w:bottom w:type="dxa" w:w="30"/>
              <w:right w:type="dxa" w:w="120"/>
            </w:tcMar>
          </w:tcPr>
          <w:p>
            <w:pPr>
              <w:spacing w:before="120" w:after="120" w:line="288" w:lineRule="auto"/>
              <w:ind w:left="0"/>
              <w:jc w:val="center"/>
            </w:pPr>
          </w:p>
        </w:tc>
      </w:tr>
      <w:tr>
        <w:tc>
          <w:tcPr>
            <w:tcW w:w="3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Cube</w:t>
            </w:r>
          </w:p>
        </w:tc>
        <w:tc>
          <w:tcPr>
            <w:tcW w:w="4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C12(0)</w:t>
            </w: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C12(1)</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C345(0)</w:t>
            </w:r>
          </w:p>
        </w:tc>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C12(3)</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C345(2)</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C12(4)</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C345(3)</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C12(5)</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C345(4)</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C12(6)</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C345(5)</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C12(7)</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C345(6)</w:t>
            </w:r>
          </w:p>
        </w:tc>
        <w:tc>
          <w:tcPr>
            <w:tcW w:w="555" w:type="dxa"/>
            <w:tcMar>
              <w:top w:type="dxa" w:w="60"/>
              <w:left w:type="dxa" w:w="120"/>
              <w:bottom w:type="dxa" w:w="30"/>
              <w:right w:type="dxa" w:w="120"/>
            </w:tcMar>
          </w:tcPr>
          <w:p>
            <w:pPr>
              <w:spacing w:before="120" w:after="120" w:line="288" w:lineRule="auto"/>
              <w:ind w:left="0"/>
              <w:jc w:val="center"/>
            </w:pP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C345(6)</w:t>
            </w:r>
          </w:p>
        </w:tc>
      </w:tr>
      <w:tr>
        <w:tc>
          <w:tcPr>
            <w:tcW w:w="3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Vec</w:t>
            </w:r>
          </w:p>
        </w:tc>
        <w:tc>
          <w:tcPr>
            <w:tcW w:w="420" w:type="dxa"/>
            <w:tcMar>
              <w:top w:type="dxa" w:w="60"/>
              <w:left w:type="dxa" w:w="120"/>
              <w:bottom w:type="dxa" w:w="30"/>
              <w:right w:type="dxa" w:w="120"/>
            </w:tcMar>
          </w:tcPr>
          <w:p>
            <w:pPr>
              <w:spacing w:before="120" w:after="120" w:line="288" w:lineRule="auto"/>
              <w:ind w:left="0"/>
              <w:jc w:val="center"/>
            </w:pP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Vec12(0)</w:t>
            </w:r>
          </w:p>
        </w:tc>
        <w:tc>
          <w:tcPr>
            <w:tcW w:w="540" w:type="dxa"/>
            <w:tcMar>
              <w:top w:type="dxa" w:w="60"/>
              <w:left w:type="dxa" w:w="120"/>
              <w:bottom w:type="dxa" w:w="30"/>
              <w:right w:type="dxa" w:w="120"/>
            </w:tcMar>
          </w:tcPr>
          <w:p>
            <w:pPr>
              <w:spacing w:before="120" w:after="120" w:line="288" w:lineRule="auto"/>
              <w:ind w:left="0"/>
              <w:jc w:val="center"/>
            </w:pPr>
          </w:p>
        </w:tc>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Vec12(2)</w:t>
            </w:r>
          </w:p>
        </w:tc>
        <w:tc>
          <w:tcPr>
            <w:tcW w:w="495" w:type="dxa"/>
            <w:tcMar>
              <w:top w:type="dxa" w:w="60"/>
              <w:left w:type="dxa" w:w="120"/>
              <w:bottom w:type="dxa" w:w="30"/>
              <w:right w:type="dxa" w:w="120"/>
            </w:tcMar>
          </w:tcPr>
          <w:p>
            <w:pPr>
              <w:spacing w:before="120" w:after="120" w:line="288" w:lineRule="auto"/>
              <w:ind w:left="0"/>
              <w:jc w:val="center"/>
            </w:pP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Vec12(3)</w:t>
            </w:r>
          </w:p>
        </w:tc>
        <w:tc>
          <w:tcPr>
            <w:tcW w:w="555" w:type="dxa"/>
            <w:tcMar>
              <w:top w:type="dxa" w:w="60"/>
              <w:left w:type="dxa" w:w="120"/>
              <w:bottom w:type="dxa" w:w="30"/>
              <w:right w:type="dxa" w:w="120"/>
            </w:tcMar>
          </w:tcPr>
          <w:p>
            <w:pPr>
              <w:spacing w:before="120" w:after="120" w:line="288" w:lineRule="auto"/>
              <w:ind w:left="0"/>
              <w:jc w:val="center"/>
            </w:pP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Vec12(4)</w:t>
            </w:r>
          </w:p>
        </w:tc>
        <w:tc>
          <w:tcPr>
            <w:tcW w:w="555" w:type="dxa"/>
            <w:tcMar>
              <w:top w:type="dxa" w:w="60"/>
              <w:left w:type="dxa" w:w="120"/>
              <w:bottom w:type="dxa" w:w="30"/>
              <w:right w:type="dxa" w:w="120"/>
            </w:tcMar>
          </w:tcPr>
          <w:p>
            <w:pPr>
              <w:spacing w:before="120" w:after="120" w:line="288" w:lineRule="auto"/>
              <w:ind w:left="0"/>
              <w:jc w:val="center"/>
            </w:pP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Vec12(5)</w:t>
            </w:r>
          </w:p>
        </w:tc>
        <w:tc>
          <w:tcPr>
            <w:tcW w:w="555" w:type="dxa"/>
            <w:tcMar>
              <w:top w:type="dxa" w:w="60"/>
              <w:left w:type="dxa" w:w="120"/>
              <w:bottom w:type="dxa" w:w="30"/>
              <w:right w:type="dxa" w:w="120"/>
            </w:tcMar>
          </w:tcPr>
          <w:p>
            <w:pPr>
              <w:spacing w:before="120" w:after="120" w:line="288" w:lineRule="auto"/>
              <w:ind w:left="0"/>
              <w:jc w:val="center"/>
            </w:pP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Vec12(6)</w:t>
            </w:r>
          </w:p>
        </w:tc>
        <w:tc>
          <w:tcPr>
            <w:tcW w:w="555" w:type="dxa"/>
            <w:tcMar>
              <w:top w:type="dxa" w:w="60"/>
              <w:left w:type="dxa" w:w="120"/>
              <w:bottom w:type="dxa" w:w="30"/>
              <w:right w:type="dxa" w:w="120"/>
            </w:tcMar>
          </w:tcPr>
          <w:p>
            <w:pPr>
              <w:spacing w:before="120" w:after="120" w:line="288" w:lineRule="auto"/>
              <w:ind w:left="0"/>
              <w:jc w:val="center"/>
            </w:pP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Vec12(6)</w:t>
            </w:r>
          </w:p>
        </w:tc>
        <w:tc>
          <w:tcPr>
            <w:tcW w:w="600" w:type="dxa"/>
            <w:tcMar>
              <w:top w:type="dxa" w:w="60"/>
              <w:left w:type="dxa" w:w="120"/>
              <w:bottom w:type="dxa" w:w="30"/>
              <w:right w:type="dxa" w:w="120"/>
            </w:tcMar>
          </w:tcPr>
          <w:p>
            <w:pPr>
              <w:spacing w:before="120" w:after="120" w:line="288" w:lineRule="auto"/>
              <w:ind w:left="0"/>
              <w:jc w:val="center"/>
            </w:pPr>
          </w:p>
        </w:tc>
      </w:tr>
    </w:tbl>
    <w:p>
      <w:pPr>
        <w:pStyle w:val="4"/>
        <w:spacing w:before="260" w:after="120" w:line="288" w:lineRule="auto"/>
        <w:ind w:left="0"/>
        <w:jc w:val="left"/>
        <w:outlineLvl w:val="3"/>
      </w:pPr>
      <w:bookmarkStart w:name="heading_21" w:id="21"/>
      <w:r>
        <w:rPr>
          <w:rFonts w:eastAsia="等线" w:ascii="Arial" w:cs="Arial" w:hAnsi="Arial"/>
          <w:b w:val="true"/>
          <w:sz w:val="28"/>
        </w:rPr>
        <w:t xml:space="preserve">确定性方案的流水设计 </w:t>
      </w:r>
      <w:bookmarkEnd w:id="21"/>
    </w:p>
    <w:p>
      <w:pPr>
        <w:spacing w:before="120" w:after="120" w:line="288" w:lineRule="auto"/>
        <w:ind w:left="0"/>
        <w:jc w:val="left"/>
      </w:pPr>
      <w:r>
        <w:rPr>
          <w:rFonts w:eastAsia="等线" w:ascii="Arial" w:cs="Arial" w:hAnsi="Arial"/>
          <w:sz w:val="22"/>
        </w:rPr>
        <w:t>确定性方案不仅需要修改 C345 的写入方式，还需要在每轮结束的时候插入 ProcessVecDTM 任务用于固定顺序的分块梯度累加，因此需要设计</w:t>
      </w:r>
      <w:r>
        <w:rPr>
          <w:rFonts w:eastAsia="等线" w:ascii="Arial" w:cs="Arial" w:hAnsi="Arial"/>
          <w:b w:val="true"/>
          <w:sz w:val="22"/>
        </w:rPr>
        <w:t>前后轮次</w:t>
      </w:r>
      <w:r>
        <w:rPr>
          <w:rFonts w:eastAsia="等线" w:ascii="Arial" w:cs="Arial" w:hAnsi="Arial"/>
          <w:sz w:val="22"/>
        </w:rPr>
        <w:t>的</w:t>
      </w:r>
      <w:r>
        <w:rPr>
          <w:rFonts w:eastAsia="等线" w:ascii="Arial" w:cs="Arial" w:hAnsi="Arial"/>
          <w:b w:val="true"/>
          <w:sz w:val="22"/>
        </w:rPr>
        <w:t>衔接流水</w:t>
      </w:r>
      <w:r>
        <w:rPr>
          <w:rFonts w:eastAsia="等线" w:ascii="Arial" w:cs="Arial" w:hAnsi="Arial"/>
          <w:sz w:val="22"/>
        </w:rPr>
        <w:t>。</w:t>
      </w:r>
    </w:p>
    <w:p>
      <w:pPr>
        <w:pStyle w:val="5"/>
        <w:spacing w:before="240" w:after="120" w:line="288" w:lineRule="auto"/>
        <w:ind w:left="0"/>
        <w:jc w:val="left"/>
        <w:outlineLvl w:val="4"/>
      </w:pPr>
      <w:bookmarkStart w:name="heading_22" w:id="22"/>
      <w:r>
        <w:rPr>
          <w:rFonts w:eastAsia="等线" w:ascii="Arial" w:cs="Arial" w:hAnsi="Arial"/>
          <w:b w:val="true"/>
          <w:sz w:val="24"/>
        </w:rPr>
        <w:t>让 VecDTM 与下一轮次 Preload C12 流水重叠</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5"/>
        <w:gridCol w:w="465"/>
        <w:gridCol w:w="510"/>
        <w:gridCol w:w="585"/>
        <w:gridCol w:w="495"/>
        <w:gridCol w:w="540"/>
        <w:gridCol w:w="600"/>
        <w:gridCol w:w="480"/>
        <w:gridCol w:w="750"/>
        <w:gridCol w:w="495"/>
        <w:gridCol w:w="510"/>
        <w:gridCol w:w="510"/>
        <w:gridCol w:w="510"/>
        <w:gridCol w:w="510"/>
        <w:gridCol w:w="480"/>
        <w:gridCol w:w="480"/>
      </w:tblGrid>
      <w:tr>
        <w:tc>
          <w:tcPr>
            <w:tcW w:w="345" w:type="dxa"/>
            <w:vMerge w:val="restart"/>
            <w:tcMar>
              <w:top w:type="dxa" w:w="60"/>
              <w:left w:type="dxa" w:w="120"/>
              <w:bottom w:type="dxa" w:w="30"/>
              <w:right w:type="dxa" w:w="120"/>
            </w:tcMar>
          </w:tcPr>
          <w:p>
            <w:pPr>
              <w:spacing w:before="120" w:after="120" w:line="288" w:lineRule="auto"/>
              <w:ind w:left="0"/>
              <w:jc w:val="center"/>
            </w:pPr>
          </w:p>
        </w:tc>
        <w:tc>
          <w:tcPr>
            <w:tcW w:w="367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R0</w:t>
            </w: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585" w:type="dxa"/>
            <w:hMerge w:val="continue"/>
            <w:tcMar>
              <w:top w:type="dxa" w:w="60"/>
              <w:left w:type="dxa" w:w="120"/>
              <w:bottom w:type="dxa" w:w="30"/>
              <w:right w:type="dxa" w:w="120"/>
            </w:tcMar>
          </w:tcPr>
          <w:p>
            <w:pPr>
              <w:spacing w:before="120" w:after="120" w:line="288" w:lineRule="auto"/>
              <w:ind w:left="0"/>
              <w:jc w:val="center"/>
            </w:pPr>
          </w:p>
        </w:tc>
        <w:tc>
          <w:tcPr>
            <w:tcW w:w="495" w:type="dxa"/>
            <w:hMerge w:val="continue"/>
            <w:tcMar>
              <w:top w:type="dxa" w:w="60"/>
              <w:left w:type="dxa" w:w="120"/>
              <w:bottom w:type="dxa" w:w="30"/>
              <w:right w:type="dxa" w:w="120"/>
            </w:tcMar>
          </w:tcPr>
          <w:p>
            <w:pPr>
              <w:spacing w:before="120" w:after="120" w:line="288" w:lineRule="auto"/>
              <w:ind w:left="0"/>
              <w:jc w:val="center"/>
            </w:pPr>
          </w:p>
        </w:tc>
        <w:tc>
          <w:tcPr>
            <w:tcW w:w="540" w:type="dxa"/>
            <w:hMerge w:val="continue"/>
            <w:tcMar>
              <w:top w:type="dxa" w:w="60"/>
              <w:left w:type="dxa" w:w="120"/>
              <w:bottom w:type="dxa" w:w="30"/>
              <w:right w:type="dxa" w:w="120"/>
            </w:tcMar>
          </w:tcPr>
          <w:p>
            <w:pPr>
              <w:spacing w:before="120" w:after="120" w:line="288" w:lineRule="auto"/>
              <w:ind w:left="0"/>
              <w:jc w:val="center"/>
            </w:pPr>
          </w:p>
        </w:tc>
        <w:tc>
          <w:tcPr>
            <w:tcW w:w="600" w:type="dxa"/>
            <w:hMerge w:val="continue"/>
            <w:tcMar>
              <w:top w:type="dxa" w:w="60"/>
              <w:left w:type="dxa" w:w="120"/>
              <w:bottom w:type="dxa" w:w="30"/>
              <w:right w:type="dxa" w:w="120"/>
            </w:tcMar>
          </w:tcPr>
          <w:p>
            <w:pPr>
              <w:spacing w:before="120" w:after="120" w:line="288" w:lineRule="auto"/>
              <w:ind w:left="0"/>
              <w:jc w:val="center"/>
            </w:pPr>
          </w:p>
        </w:tc>
        <w:tc>
          <w:tcPr>
            <w:tcW w:w="480" w:type="dxa"/>
            <w:hMerge w:val="continue"/>
            <w:tcMar>
              <w:top w:type="dxa" w:w="60"/>
              <w:left w:type="dxa" w:w="120"/>
              <w:bottom w:type="dxa" w:w="30"/>
              <w:right w:type="dxa" w:w="120"/>
            </w:tcMar>
          </w:tcPr>
          <w:p>
            <w:pPr>
              <w:spacing w:before="120" w:after="120" w:line="288" w:lineRule="auto"/>
              <w:ind w:left="0"/>
              <w:jc w:val="center"/>
            </w:pPr>
          </w:p>
        </w:tc>
        <w:tc>
          <w:tcPr>
            <w:tcW w:w="750" w:type="dxa"/>
            <w:vMerge w:val="restart"/>
            <w:tcMar>
              <w:top w:type="dxa" w:w="60"/>
              <w:left w:type="dxa" w:w="120"/>
              <w:bottom w:type="dxa" w:w="30"/>
              <w:right w:type="dxa" w:w="120"/>
            </w:tcMar>
          </w:tcPr>
          <w:p>
            <w:pPr>
              <w:spacing w:before="120" w:after="120" w:line="288" w:lineRule="auto"/>
              <w:ind w:left="0"/>
              <w:jc w:val="left"/>
            </w:pPr>
          </w:p>
        </w:tc>
        <w:tc>
          <w:tcPr>
            <w:tcW w:w="349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R1</w:t>
            </w:r>
          </w:p>
        </w:tc>
        <w:tc>
          <w:tcPr>
            <w:tcW w:w="510" w:type="dxa"/>
            <w:hMerge w:val="continue"/>
            <w:tcMar>
              <w:top w:type="dxa" w:w="60"/>
              <w:left w:type="dxa" w:w="120"/>
              <w:bottom w:type="dxa" w:w="30"/>
              <w:right w:type="dxa" w:w="120"/>
            </w:tcMar>
          </w:tcPr>
          <w:p>
            <w:pPr>
              <w:spacing w:before="120" w:after="120" w:line="288" w:lineRule="auto"/>
              <w:ind w:left="0"/>
              <w:jc w:val="left"/>
            </w:pPr>
          </w:p>
        </w:tc>
        <w:tc>
          <w:tcPr>
            <w:tcW w:w="510" w:type="dxa"/>
            <w:hMerge w:val="continue"/>
            <w:tcMar>
              <w:top w:type="dxa" w:w="60"/>
              <w:left w:type="dxa" w:w="120"/>
              <w:bottom w:type="dxa" w:w="30"/>
              <w:right w:type="dxa" w:w="120"/>
            </w:tcMar>
          </w:tcPr>
          <w:p>
            <w:pPr>
              <w:spacing w:before="120" w:after="120" w:line="288" w:lineRule="auto"/>
              <w:ind w:left="0"/>
              <w:jc w:val="left"/>
            </w:pPr>
          </w:p>
        </w:tc>
        <w:tc>
          <w:tcPr>
            <w:tcW w:w="510" w:type="dxa"/>
            <w:hMerge w:val="continue"/>
            <w:tcMar>
              <w:top w:type="dxa" w:w="60"/>
              <w:left w:type="dxa" w:w="120"/>
              <w:bottom w:type="dxa" w:w="30"/>
              <w:right w:type="dxa" w:w="120"/>
            </w:tcMar>
          </w:tcPr>
          <w:p>
            <w:pPr>
              <w:spacing w:before="120" w:after="120" w:line="288" w:lineRule="auto"/>
              <w:ind w:left="0"/>
              <w:jc w:val="left"/>
            </w:pPr>
          </w:p>
        </w:tc>
        <w:tc>
          <w:tcPr>
            <w:tcW w:w="510" w:type="dxa"/>
            <w:hMerge w:val="continue"/>
            <w:tcMar>
              <w:top w:type="dxa" w:w="60"/>
              <w:left w:type="dxa" w:w="120"/>
              <w:bottom w:type="dxa" w:w="30"/>
              <w:right w:type="dxa" w:w="120"/>
            </w:tcMar>
          </w:tcPr>
          <w:p>
            <w:pPr>
              <w:spacing w:before="120" w:after="120" w:line="288" w:lineRule="auto"/>
              <w:ind w:left="0"/>
              <w:jc w:val="left"/>
            </w:pPr>
          </w:p>
        </w:tc>
        <w:tc>
          <w:tcPr>
            <w:tcW w:w="480" w:type="dxa"/>
            <w:hMerge w:val="continue"/>
            <w:tcMar>
              <w:top w:type="dxa" w:w="60"/>
              <w:left w:type="dxa" w:w="120"/>
              <w:bottom w:type="dxa" w:w="30"/>
              <w:right w:type="dxa" w:w="120"/>
            </w:tcMar>
          </w:tcPr>
          <w:p>
            <w:pPr>
              <w:spacing w:before="120" w:after="120" w:line="288" w:lineRule="auto"/>
              <w:ind w:left="0"/>
              <w:jc w:val="left"/>
            </w:pPr>
          </w:p>
        </w:tc>
        <w:tc>
          <w:tcPr>
            <w:tcW w:w="480" w:type="dxa"/>
            <w:hMerge w:val="continue"/>
            <w:tcMar>
              <w:top w:type="dxa" w:w="60"/>
              <w:left w:type="dxa" w:w="120"/>
              <w:bottom w:type="dxa" w:w="30"/>
              <w:right w:type="dxa" w:w="120"/>
            </w:tcMar>
          </w:tcPr>
          <w:p>
            <w:pPr>
              <w:spacing w:before="120" w:after="120" w:line="288" w:lineRule="auto"/>
              <w:ind w:left="0"/>
              <w:jc w:val="left"/>
            </w:pPr>
          </w:p>
        </w:tc>
      </w:tr>
      <w:tr>
        <w:tc>
          <w:tcPr>
            <w:tcW w:w="345" w:type="dxa"/>
            <w:vMerge w:val="continue"/>
            <w:tcMar>
              <w:top w:type="dxa" w:w="60"/>
              <w:left w:type="dxa" w:w="120"/>
              <w:bottom w:type="dxa" w:w="30"/>
              <w:right w:type="dxa" w:w="120"/>
            </w:tcMar>
          </w:tcPr>
          <w:p>
            <w:pPr>
              <w:spacing w:before="120" w:after="120" w:line="288" w:lineRule="auto"/>
              <w:ind w:left="0"/>
              <w:jc w:val="center"/>
            </w:pPr>
          </w:p>
        </w:tc>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T0</w:t>
            </w:r>
          </w:p>
        </w:tc>
        <w:tc>
          <w:tcPr>
            <w:tcW w:w="109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585" w:type="dxa"/>
            <w:hMerge w:val="continue"/>
            <w:tcMar>
              <w:top w:type="dxa" w:w="60"/>
              <w:left w:type="dxa" w:w="120"/>
              <w:bottom w:type="dxa" w:w="30"/>
              <w:right w:type="dxa" w:w="120"/>
            </w:tcMar>
          </w:tcPr>
          <w:p>
            <w:pPr>
              <w:spacing w:before="120" w:after="120" w:line="288" w:lineRule="auto"/>
              <w:ind w:left="0"/>
              <w:jc w:val="center"/>
            </w:pPr>
          </w:p>
        </w:tc>
        <w:tc>
          <w:tcPr>
            <w:tcW w:w="103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540" w:type="dxa"/>
            <w:hMerge w:val="continue"/>
            <w:tcMar>
              <w:top w:type="dxa" w:w="60"/>
              <w:left w:type="dxa" w:w="120"/>
              <w:bottom w:type="dxa" w:w="30"/>
              <w:right w:type="dxa" w:w="120"/>
            </w:tcMar>
          </w:tcPr>
          <w:p>
            <w:pPr>
              <w:spacing w:before="120" w:after="120" w:line="288" w:lineRule="auto"/>
              <w:ind w:left="0"/>
              <w:jc w:val="center"/>
            </w:pPr>
          </w:p>
        </w:tc>
        <w:tc>
          <w:tcPr>
            <w:tcW w:w="10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T3（Drawn）</w:t>
            </w:r>
          </w:p>
        </w:tc>
        <w:tc>
          <w:tcPr>
            <w:tcW w:w="480" w:type="dxa"/>
            <w:hMerge w:val="continue"/>
            <w:tcMar>
              <w:top w:type="dxa" w:w="60"/>
              <w:left w:type="dxa" w:w="120"/>
              <w:bottom w:type="dxa" w:w="30"/>
              <w:right w:type="dxa" w:w="120"/>
            </w:tcMar>
          </w:tcPr>
          <w:p>
            <w:pPr>
              <w:spacing w:before="120" w:after="120" w:line="288" w:lineRule="auto"/>
              <w:ind w:left="0"/>
              <w:jc w:val="center"/>
            </w:pPr>
          </w:p>
        </w:tc>
        <w:tc>
          <w:tcPr>
            <w:tcW w:w="750" w:type="dxa"/>
            <w:vMerge w:val="continue"/>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T0</w:t>
            </w:r>
          </w:p>
        </w:tc>
        <w:tc>
          <w:tcPr>
            <w:tcW w:w="10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10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96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T3（Drawn）</w:t>
            </w:r>
          </w:p>
        </w:tc>
        <w:tc>
          <w:tcPr>
            <w:tcW w:w="480" w:type="dxa"/>
            <w:hMerge w:val="continue"/>
            <w:tcMar>
              <w:top w:type="dxa" w:w="60"/>
              <w:left w:type="dxa" w:w="120"/>
              <w:bottom w:type="dxa" w:w="30"/>
              <w:right w:type="dxa" w:w="120"/>
            </w:tcMar>
          </w:tcPr>
          <w:p>
            <w:pPr>
              <w:spacing w:before="120" w:after="120" w:line="288" w:lineRule="auto"/>
              <w:ind w:left="0"/>
              <w:jc w:val="center"/>
            </w:pP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Cube</w:t>
            </w:r>
          </w:p>
        </w:tc>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C12(1)</w:t>
            </w:r>
          </w:p>
        </w:tc>
        <w:tc>
          <w:tcPr>
            <w:tcW w:w="58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C345(0)</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C12(3)</w:t>
            </w:r>
          </w:p>
        </w:tc>
        <w:tc>
          <w:tcPr>
            <w:tcW w:w="5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C345(2)</w:t>
            </w:r>
          </w:p>
        </w:tc>
        <w:tc>
          <w:tcPr>
            <w:tcW w:w="600" w:type="dxa"/>
            <w:tcMar>
              <w:top w:type="dxa" w:w="60"/>
              <w:left w:type="dxa" w:w="120"/>
              <w:bottom w:type="dxa" w:w="30"/>
              <w:right w:type="dxa" w:w="120"/>
            </w:tcMar>
          </w:tcPr>
          <w:p>
            <w:pPr>
              <w:spacing w:before="120" w:after="120" w:line="288" w:lineRule="auto"/>
              <w:ind w:left="0"/>
              <w:jc w:val="center"/>
            </w:pP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C345(3)</w:t>
            </w:r>
          </w:p>
        </w:tc>
        <w:tc>
          <w:tcPr>
            <w:tcW w:w="75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VecDTM(0,1,2,3)</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C12(4)</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C12(5)</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C345(4)</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C12(6)</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C345(5)</w:t>
            </w:r>
          </w:p>
        </w:tc>
        <w:tc>
          <w:tcPr>
            <w:tcW w:w="480" w:type="dxa"/>
            <w:tcMar>
              <w:top w:type="dxa" w:w="60"/>
              <w:left w:type="dxa" w:w="120"/>
              <w:bottom w:type="dxa" w:w="30"/>
              <w:right w:type="dxa" w:w="120"/>
            </w:tcMar>
          </w:tcPr>
          <w:p>
            <w:pPr>
              <w:spacing w:before="120" w:after="120" w:line="288" w:lineRule="auto"/>
              <w:ind w:left="0"/>
              <w:jc w:val="center"/>
            </w:pP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C345(6)</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Vec</w:t>
            </w:r>
          </w:p>
        </w:tc>
        <w:tc>
          <w:tcPr>
            <w:tcW w:w="465" w:type="dxa"/>
            <w:tcMar>
              <w:top w:type="dxa" w:w="60"/>
              <w:left w:type="dxa" w:w="120"/>
              <w:bottom w:type="dxa" w:w="30"/>
              <w:right w:type="dxa" w:w="120"/>
            </w:tcMar>
          </w:tcPr>
          <w:p>
            <w:pPr>
              <w:spacing w:before="120" w:after="120" w:line="288" w:lineRule="auto"/>
              <w:ind w:left="0"/>
              <w:jc w:val="center"/>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Vec12(0)</w:t>
            </w:r>
          </w:p>
        </w:tc>
        <w:tc>
          <w:tcPr>
            <w:tcW w:w="585" w:type="dxa"/>
            <w:tcMar>
              <w:top w:type="dxa" w:w="60"/>
              <w:left w:type="dxa" w:w="120"/>
              <w:bottom w:type="dxa" w:w="30"/>
              <w:right w:type="dxa" w:w="120"/>
            </w:tcMar>
          </w:tcPr>
          <w:p>
            <w:pPr>
              <w:spacing w:before="120" w:after="120" w:line="288" w:lineRule="auto"/>
              <w:ind w:left="0"/>
              <w:jc w:val="center"/>
            </w:pP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Vec12(2)</w:t>
            </w:r>
          </w:p>
        </w:tc>
        <w:tc>
          <w:tcPr>
            <w:tcW w:w="540" w:type="dxa"/>
            <w:tcMar>
              <w:top w:type="dxa" w:w="60"/>
              <w:left w:type="dxa" w:w="120"/>
              <w:bottom w:type="dxa" w:w="30"/>
              <w:right w:type="dxa" w:w="120"/>
            </w:tcMar>
          </w:tcPr>
          <w:p>
            <w:pPr>
              <w:spacing w:before="120" w:after="120" w:line="288" w:lineRule="auto"/>
              <w:ind w:left="0"/>
              <w:jc w:val="center"/>
            </w:pP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Vec12(3)</w:t>
            </w:r>
          </w:p>
        </w:tc>
        <w:tc>
          <w:tcPr>
            <w:tcW w:w="480" w:type="dxa"/>
            <w:tcMar>
              <w:top w:type="dxa" w:w="60"/>
              <w:left w:type="dxa" w:w="120"/>
              <w:bottom w:type="dxa" w:w="30"/>
              <w:right w:type="dxa" w:w="120"/>
            </w:tcMar>
          </w:tcPr>
          <w:p>
            <w:pPr>
              <w:spacing w:before="120" w:after="120" w:line="288" w:lineRule="auto"/>
              <w:ind w:left="0"/>
              <w:jc w:val="center"/>
            </w:pPr>
          </w:p>
        </w:tc>
        <w:tc>
          <w:tcPr>
            <w:tcW w:w="750" w:type="dxa"/>
            <w:vMerge w:val="continue"/>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center"/>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Vec12(4)</w:t>
            </w:r>
          </w:p>
        </w:tc>
        <w:tc>
          <w:tcPr>
            <w:tcW w:w="510" w:type="dxa"/>
            <w:tcMar>
              <w:top w:type="dxa" w:w="60"/>
              <w:left w:type="dxa" w:w="120"/>
              <w:bottom w:type="dxa" w:w="30"/>
              <w:right w:type="dxa" w:w="120"/>
            </w:tcMar>
          </w:tcPr>
          <w:p>
            <w:pPr>
              <w:spacing w:before="120" w:after="120" w:line="288" w:lineRule="auto"/>
              <w:ind w:left="0"/>
              <w:jc w:val="center"/>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Vec12(5)</w:t>
            </w:r>
          </w:p>
        </w:tc>
        <w:tc>
          <w:tcPr>
            <w:tcW w:w="510" w:type="dxa"/>
            <w:tcMar>
              <w:top w:type="dxa" w:w="60"/>
              <w:left w:type="dxa" w:w="120"/>
              <w:bottom w:type="dxa" w:w="30"/>
              <w:right w:type="dxa" w:w="120"/>
            </w:tcMar>
          </w:tcPr>
          <w:p>
            <w:pPr>
              <w:spacing w:before="120" w:after="120" w:line="288" w:lineRule="auto"/>
              <w:ind w:left="0"/>
              <w:jc w:val="center"/>
            </w:pP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Vec12(6)</w:t>
            </w:r>
          </w:p>
        </w:tc>
        <w:tc>
          <w:tcPr>
            <w:tcW w:w="480" w:type="dxa"/>
            <w:tcMar>
              <w:top w:type="dxa" w:w="60"/>
              <w:left w:type="dxa" w:w="120"/>
              <w:bottom w:type="dxa" w:w="30"/>
              <w:right w:type="dxa" w:w="120"/>
            </w:tcMar>
          </w:tcPr>
          <w:p>
            <w:pPr>
              <w:spacing w:before="120" w:after="120" w:line="288" w:lineRule="auto"/>
              <w:ind w:left="0"/>
              <w:jc w:val="center"/>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45"/>
        <w:gridCol w:w="450"/>
        <w:gridCol w:w="510"/>
        <w:gridCol w:w="570"/>
        <w:gridCol w:w="495"/>
        <w:gridCol w:w="525"/>
        <w:gridCol w:w="600"/>
        <w:gridCol w:w="600"/>
        <w:gridCol w:w="735"/>
        <w:gridCol w:w="600"/>
        <w:gridCol w:w="600"/>
        <w:gridCol w:w="600"/>
        <w:gridCol w:w="600"/>
        <w:gridCol w:w="600"/>
        <w:gridCol w:w="480"/>
      </w:tblGrid>
      <w:tr>
        <w:tc>
          <w:tcPr>
            <w:tcW w:w="345" w:type="dxa"/>
            <w:vMerge w:val="restart"/>
            <w:tcMar>
              <w:top w:type="dxa" w:w="60"/>
              <w:left w:type="dxa" w:w="120"/>
              <w:bottom w:type="dxa" w:w="30"/>
              <w:right w:type="dxa" w:w="120"/>
            </w:tcMar>
          </w:tcPr>
          <w:p>
            <w:pPr>
              <w:spacing w:before="120" w:after="120" w:line="288" w:lineRule="auto"/>
              <w:ind w:left="0"/>
              <w:jc w:val="center"/>
            </w:pPr>
          </w:p>
        </w:tc>
        <w:tc>
          <w:tcPr>
            <w:tcW w:w="37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R0</w:t>
            </w:r>
          </w:p>
        </w:tc>
        <w:tc>
          <w:tcPr>
            <w:tcW w:w="510" w:type="dxa"/>
            <w:hMerge w:val="continue"/>
            <w:tcMar>
              <w:top w:type="dxa" w:w="60"/>
              <w:left w:type="dxa" w:w="120"/>
              <w:bottom w:type="dxa" w:w="30"/>
              <w:right w:type="dxa" w:w="120"/>
            </w:tcMar>
          </w:tcPr>
          <w:p>
            <w:pPr>
              <w:spacing w:before="120" w:after="120" w:line="288" w:lineRule="auto"/>
              <w:ind w:left="0"/>
              <w:jc w:val="center"/>
            </w:pPr>
          </w:p>
        </w:tc>
        <w:tc>
          <w:tcPr>
            <w:tcW w:w="570" w:type="dxa"/>
            <w:hMerge w:val="continue"/>
            <w:tcMar>
              <w:top w:type="dxa" w:w="60"/>
              <w:left w:type="dxa" w:w="120"/>
              <w:bottom w:type="dxa" w:w="30"/>
              <w:right w:type="dxa" w:w="120"/>
            </w:tcMar>
          </w:tcPr>
          <w:p>
            <w:pPr>
              <w:spacing w:before="120" w:after="120" w:line="288" w:lineRule="auto"/>
              <w:ind w:left="0"/>
              <w:jc w:val="center"/>
            </w:pPr>
          </w:p>
        </w:tc>
        <w:tc>
          <w:tcPr>
            <w:tcW w:w="495" w:type="dxa"/>
            <w:hMerge w:val="continue"/>
            <w:tcMar>
              <w:top w:type="dxa" w:w="60"/>
              <w:left w:type="dxa" w:w="120"/>
              <w:bottom w:type="dxa" w:w="30"/>
              <w:right w:type="dxa" w:w="120"/>
            </w:tcMar>
          </w:tcPr>
          <w:p>
            <w:pPr>
              <w:spacing w:before="120" w:after="120" w:line="288" w:lineRule="auto"/>
              <w:ind w:left="0"/>
              <w:jc w:val="center"/>
            </w:pPr>
          </w:p>
        </w:tc>
        <w:tc>
          <w:tcPr>
            <w:tcW w:w="525" w:type="dxa"/>
            <w:hMerge w:val="continue"/>
            <w:tcMar>
              <w:top w:type="dxa" w:w="60"/>
              <w:left w:type="dxa" w:w="120"/>
              <w:bottom w:type="dxa" w:w="30"/>
              <w:right w:type="dxa" w:w="120"/>
            </w:tcMar>
          </w:tcPr>
          <w:p>
            <w:pPr>
              <w:spacing w:before="120" w:after="120" w:line="288" w:lineRule="auto"/>
              <w:ind w:left="0"/>
              <w:jc w:val="center"/>
            </w:pPr>
          </w:p>
        </w:tc>
        <w:tc>
          <w:tcPr>
            <w:tcW w:w="600" w:type="dxa"/>
            <w:hMerge w:val="continue"/>
            <w:tcMar>
              <w:top w:type="dxa" w:w="60"/>
              <w:left w:type="dxa" w:w="120"/>
              <w:bottom w:type="dxa" w:w="30"/>
              <w:right w:type="dxa" w:w="120"/>
            </w:tcMar>
          </w:tcPr>
          <w:p>
            <w:pPr>
              <w:spacing w:before="120" w:after="120" w:line="288" w:lineRule="auto"/>
              <w:ind w:left="0"/>
              <w:jc w:val="center"/>
            </w:pPr>
          </w:p>
        </w:tc>
        <w:tc>
          <w:tcPr>
            <w:tcW w:w="600" w:type="dxa"/>
            <w:hMerge w:val="continue"/>
            <w:tcMar>
              <w:top w:type="dxa" w:w="60"/>
              <w:left w:type="dxa" w:w="120"/>
              <w:bottom w:type="dxa" w:w="30"/>
              <w:right w:type="dxa" w:w="120"/>
            </w:tcMar>
          </w:tcPr>
          <w:p>
            <w:pPr>
              <w:spacing w:before="120" w:after="120" w:line="288" w:lineRule="auto"/>
              <w:ind w:left="0"/>
              <w:jc w:val="center"/>
            </w:pPr>
          </w:p>
        </w:tc>
        <w:tc>
          <w:tcPr>
            <w:tcW w:w="421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R1</w:t>
            </w:r>
          </w:p>
        </w:tc>
        <w:tc>
          <w:tcPr>
            <w:tcW w:w="600" w:type="dxa"/>
            <w:hMerge w:val="continue"/>
            <w:tcMar>
              <w:top w:type="dxa" w:w="60"/>
              <w:left w:type="dxa" w:w="120"/>
              <w:bottom w:type="dxa" w:w="30"/>
              <w:right w:type="dxa" w:w="120"/>
            </w:tcMar>
          </w:tcPr>
          <w:p>
            <w:pPr>
              <w:spacing w:before="120" w:after="120" w:line="288" w:lineRule="auto"/>
              <w:ind w:left="0"/>
              <w:jc w:val="left"/>
            </w:pPr>
          </w:p>
        </w:tc>
        <w:tc>
          <w:tcPr>
            <w:tcW w:w="600" w:type="dxa"/>
            <w:hMerge w:val="continue"/>
            <w:tcMar>
              <w:top w:type="dxa" w:w="60"/>
              <w:left w:type="dxa" w:w="120"/>
              <w:bottom w:type="dxa" w:w="30"/>
              <w:right w:type="dxa" w:w="120"/>
            </w:tcMar>
          </w:tcPr>
          <w:p>
            <w:pPr>
              <w:spacing w:before="120" w:after="120" w:line="288" w:lineRule="auto"/>
              <w:ind w:left="0"/>
              <w:jc w:val="left"/>
            </w:pPr>
          </w:p>
        </w:tc>
        <w:tc>
          <w:tcPr>
            <w:tcW w:w="600" w:type="dxa"/>
            <w:hMerge w:val="continue"/>
            <w:tcMar>
              <w:top w:type="dxa" w:w="60"/>
              <w:left w:type="dxa" w:w="120"/>
              <w:bottom w:type="dxa" w:w="30"/>
              <w:right w:type="dxa" w:w="120"/>
            </w:tcMar>
          </w:tcPr>
          <w:p>
            <w:pPr>
              <w:spacing w:before="120" w:after="120" w:line="288" w:lineRule="auto"/>
              <w:ind w:left="0"/>
              <w:jc w:val="left"/>
            </w:pPr>
          </w:p>
        </w:tc>
        <w:tc>
          <w:tcPr>
            <w:tcW w:w="600" w:type="dxa"/>
            <w:hMerge w:val="continue"/>
            <w:tcMar>
              <w:top w:type="dxa" w:w="60"/>
              <w:left w:type="dxa" w:w="120"/>
              <w:bottom w:type="dxa" w:w="30"/>
              <w:right w:type="dxa" w:w="120"/>
            </w:tcMar>
          </w:tcPr>
          <w:p>
            <w:pPr>
              <w:spacing w:before="120" w:after="120" w:line="288" w:lineRule="auto"/>
              <w:ind w:left="0"/>
              <w:jc w:val="left"/>
            </w:pPr>
          </w:p>
        </w:tc>
        <w:tc>
          <w:tcPr>
            <w:tcW w:w="600" w:type="dxa"/>
            <w:hMerge w:val="continue"/>
            <w:tcMar>
              <w:top w:type="dxa" w:w="60"/>
              <w:left w:type="dxa" w:w="120"/>
              <w:bottom w:type="dxa" w:w="30"/>
              <w:right w:type="dxa" w:w="120"/>
            </w:tcMar>
          </w:tcPr>
          <w:p>
            <w:pPr>
              <w:spacing w:before="120" w:after="120" w:line="288" w:lineRule="auto"/>
              <w:ind w:left="0"/>
              <w:jc w:val="left"/>
            </w:pPr>
          </w:p>
        </w:tc>
        <w:tc>
          <w:tcPr>
            <w:tcW w:w="480" w:type="dxa"/>
            <w:hMerge w:val="continue"/>
            <w:tcMar>
              <w:top w:type="dxa" w:w="60"/>
              <w:left w:type="dxa" w:w="120"/>
              <w:bottom w:type="dxa" w:w="30"/>
              <w:right w:type="dxa" w:w="120"/>
            </w:tcMar>
          </w:tcPr>
          <w:p>
            <w:pPr>
              <w:spacing w:before="120" w:after="120" w:line="288" w:lineRule="auto"/>
              <w:ind w:left="0"/>
              <w:jc w:val="left"/>
            </w:pPr>
          </w:p>
        </w:tc>
      </w:tr>
      <w:tr>
        <w:tc>
          <w:tcPr>
            <w:tcW w:w="345" w:type="dxa"/>
            <w:vMerge w:val="continue"/>
            <w:tcMar>
              <w:top w:type="dxa" w:w="60"/>
              <w:left w:type="dxa" w:w="120"/>
              <w:bottom w:type="dxa" w:w="30"/>
              <w:right w:type="dxa" w:w="120"/>
            </w:tcMar>
          </w:tcPr>
          <w:p>
            <w:pPr>
              <w:spacing w:before="120" w:after="120" w:line="288" w:lineRule="auto"/>
              <w:ind w:left="0"/>
              <w:jc w:val="center"/>
            </w:pPr>
          </w:p>
        </w:tc>
        <w:tc>
          <w:tcPr>
            <w:tcW w:w="4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T0</w:t>
            </w:r>
          </w:p>
        </w:tc>
        <w:tc>
          <w:tcPr>
            <w:tcW w:w="10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570" w:type="dxa"/>
            <w:hMerge w:val="continue"/>
            <w:tcMar>
              <w:top w:type="dxa" w:w="60"/>
              <w:left w:type="dxa" w:w="120"/>
              <w:bottom w:type="dxa" w:w="30"/>
              <w:right w:type="dxa" w:w="120"/>
            </w:tcMar>
          </w:tcPr>
          <w:p>
            <w:pPr>
              <w:spacing w:before="120" w:after="120" w:line="288" w:lineRule="auto"/>
              <w:ind w:left="0"/>
              <w:jc w:val="center"/>
            </w:pPr>
          </w:p>
        </w:tc>
        <w:tc>
          <w:tcPr>
            <w:tcW w:w="102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525" w:type="dxa"/>
            <w:hMerge w:val="continue"/>
            <w:tcMar>
              <w:top w:type="dxa" w:w="60"/>
              <w:left w:type="dxa" w:w="120"/>
              <w:bottom w:type="dxa" w:w="30"/>
              <w:right w:type="dxa" w:w="120"/>
            </w:tcMar>
          </w:tcPr>
          <w:p>
            <w:pPr>
              <w:spacing w:before="120" w:after="120" w:line="288" w:lineRule="auto"/>
              <w:ind w:left="0"/>
              <w:jc w:val="center"/>
            </w:pPr>
          </w:p>
        </w:tc>
        <w:tc>
          <w:tcPr>
            <w:tcW w:w="12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T3（Drawn）</w:t>
            </w:r>
          </w:p>
        </w:tc>
        <w:tc>
          <w:tcPr>
            <w:tcW w:w="600" w:type="dxa"/>
            <w:hMerge w:val="continue"/>
            <w:tcMar>
              <w:top w:type="dxa" w:w="60"/>
              <w:left w:type="dxa" w:w="120"/>
              <w:bottom w:type="dxa" w:w="30"/>
              <w:right w:type="dxa" w:w="120"/>
            </w:tcMar>
          </w:tcPr>
          <w:p>
            <w:pPr>
              <w:spacing w:before="120" w:after="120" w:line="288" w:lineRule="auto"/>
              <w:ind w:left="0"/>
              <w:jc w:val="center"/>
            </w:pP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T0</w:t>
            </w:r>
          </w:p>
        </w:tc>
        <w:tc>
          <w:tcPr>
            <w:tcW w:w="12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T1</w:t>
            </w:r>
          </w:p>
        </w:tc>
        <w:tc>
          <w:tcPr>
            <w:tcW w:w="600" w:type="dxa"/>
            <w:hMerge w:val="continue"/>
            <w:tcMar>
              <w:top w:type="dxa" w:w="60"/>
              <w:left w:type="dxa" w:w="120"/>
              <w:bottom w:type="dxa" w:w="30"/>
              <w:right w:type="dxa" w:w="120"/>
            </w:tcMar>
          </w:tcPr>
          <w:p>
            <w:pPr>
              <w:spacing w:before="120" w:after="120" w:line="288" w:lineRule="auto"/>
              <w:ind w:left="0"/>
              <w:jc w:val="center"/>
            </w:pPr>
          </w:p>
        </w:tc>
        <w:tc>
          <w:tcPr>
            <w:tcW w:w="12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T2</w:t>
            </w:r>
          </w:p>
        </w:tc>
        <w:tc>
          <w:tcPr>
            <w:tcW w:w="600" w:type="dxa"/>
            <w:hMerge w:val="continue"/>
            <w:tcMar>
              <w:top w:type="dxa" w:w="60"/>
              <w:left w:type="dxa" w:w="120"/>
              <w:bottom w:type="dxa" w:w="30"/>
              <w:right w:type="dxa" w:w="120"/>
            </w:tcMar>
          </w:tcPr>
          <w:p>
            <w:pPr>
              <w:spacing w:before="120" w:after="120" w:line="288" w:lineRule="auto"/>
              <w:ind w:left="0"/>
              <w:jc w:val="center"/>
            </w:pPr>
          </w:p>
        </w:tc>
        <w:tc>
          <w:tcPr>
            <w:tcW w:w="108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T3（Drawn）</w:t>
            </w:r>
          </w:p>
        </w:tc>
        <w:tc>
          <w:tcPr>
            <w:tcW w:w="480" w:type="dxa"/>
            <w:hMerge w:val="continue"/>
            <w:tcMar>
              <w:top w:type="dxa" w:w="60"/>
              <w:left w:type="dxa" w:w="120"/>
              <w:bottom w:type="dxa" w:w="30"/>
              <w:right w:type="dxa" w:w="120"/>
            </w:tcMar>
          </w:tcPr>
          <w:p>
            <w:pPr>
              <w:spacing w:before="120" w:after="120" w:line="288" w:lineRule="auto"/>
              <w:ind w:left="0"/>
              <w:jc w:val="center"/>
            </w:pP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Cube</w:t>
            </w:r>
          </w:p>
        </w:tc>
        <w:tc>
          <w:tcPr>
            <w:tcW w:w="4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C12(0)</w:t>
            </w: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C12(1)</w:t>
            </w:r>
          </w:p>
        </w:tc>
        <w:tc>
          <w:tcPr>
            <w:tcW w:w="5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C345(0)</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C12(3)</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C345(2)</w:t>
            </w:r>
          </w:p>
        </w:tc>
        <w:tc>
          <w:tcPr>
            <w:tcW w:w="600" w:type="dxa"/>
            <w:tcMar>
              <w:top w:type="dxa" w:w="60"/>
              <w:left w:type="dxa" w:w="120"/>
              <w:bottom w:type="dxa" w:w="30"/>
              <w:right w:type="dxa" w:w="120"/>
            </w:tcMar>
          </w:tcPr>
          <w:p>
            <w:pPr>
              <w:spacing w:before="120" w:after="120" w:line="288" w:lineRule="auto"/>
              <w:ind w:left="0"/>
              <w:jc w:val="center"/>
            </w:pP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C345(3)</w:t>
            </w: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C12(4)</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C12(5)</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C345(4)</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C12(6)</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C345(5)</w:t>
            </w:r>
          </w:p>
        </w:tc>
        <w:tc>
          <w:tcPr>
            <w:tcW w:w="600" w:type="dxa"/>
            <w:tcMar>
              <w:top w:type="dxa" w:w="60"/>
              <w:left w:type="dxa" w:w="120"/>
              <w:bottom w:type="dxa" w:w="30"/>
              <w:right w:type="dxa" w:w="120"/>
            </w:tcMar>
          </w:tcPr>
          <w:p>
            <w:pPr>
              <w:spacing w:before="120" w:after="120" w:line="288" w:lineRule="auto"/>
              <w:ind w:left="0"/>
              <w:jc w:val="center"/>
            </w:pP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C345(6)</w:t>
            </w:r>
          </w:p>
        </w:tc>
      </w:tr>
      <w:tr>
        <w:tc>
          <w:tcPr>
            <w:tcW w:w="3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Vec</w:t>
            </w:r>
          </w:p>
        </w:tc>
        <w:tc>
          <w:tcPr>
            <w:tcW w:w="450" w:type="dxa"/>
            <w:tcMar>
              <w:top w:type="dxa" w:w="60"/>
              <w:left w:type="dxa" w:w="120"/>
              <w:bottom w:type="dxa" w:w="30"/>
              <w:right w:type="dxa" w:w="120"/>
            </w:tcMar>
          </w:tcPr>
          <w:p>
            <w:pPr>
              <w:spacing w:before="120" w:after="120" w:line="288" w:lineRule="auto"/>
              <w:ind w:left="0"/>
              <w:jc w:val="center"/>
            </w:pPr>
          </w:p>
        </w:tc>
        <w:tc>
          <w:tcPr>
            <w:tcW w:w="5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Vec12(0)</w:t>
            </w:r>
          </w:p>
        </w:tc>
        <w:tc>
          <w:tcPr>
            <w:tcW w:w="570" w:type="dxa"/>
            <w:tcMar>
              <w:top w:type="dxa" w:w="60"/>
              <w:left w:type="dxa" w:w="120"/>
              <w:bottom w:type="dxa" w:w="30"/>
              <w:right w:type="dxa" w:w="120"/>
            </w:tcMar>
          </w:tcPr>
          <w:p>
            <w:pPr>
              <w:spacing w:before="120" w:after="120" w:line="288" w:lineRule="auto"/>
              <w:ind w:left="0"/>
              <w:jc w:val="center"/>
            </w:pP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Vec12(2)</w:t>
            </w:r>
          </w:p>
        </w:tc>
        <w:tc>
          <w:tcPr>
            <w:tcW w:w="525" w:type="dxa"/>
            <w:tcMar>
              <w:top w:type="dxa" w:w="60"/>
              <w:left w:type="dxa" w:w="120"/>
              <w:bottom w:type="dxa" w:w="30"/>
              <w:right w:type="dxa" w:w="120"/>
            </w:tcMar>
          </w:tcPr>
          <w:p>
            <w:pPr>
              <w:spacing w:before="120" w:after="120" w:line="288" w:lineRule="auto"/>
              <w:ind w:left="0"/>
              <w:jc w:val="center"/>
            </w:pP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Vec12(3)</w:t>
            </w:r>
          </w:p>
        </w:tc>
        <w:tc>
          <w:tcPr>
            <w:tcW w:w="600" w:type="dxa"/>
            <w:tcMar>
              <w:top w:type="dxa" w:w="60"/>
              <w:left w:type="dxa" w:w="120"/>
              <w:bottom w:type="dxa" w:w="30"/>
              <w:right w:type="dxa" w:w="120"/>
            </w:tcMar>
          </w:tcPr>
          <w:p>
            <w:pPr>
              <w:spacing w:before="120" w:after="120" w:line="288" w:lineRule="auto"/>
              <w:ind w:left="0"/>
              <w:jc w:val="center"/>
            </w:pP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VecDTM(0,1,2,3)</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Vec12(4)</w:t>
            </w:r>
          </w:p>
        </w:tc>
        <w:tc>
          <w:tcPr>
            <w:tcW w:w="600" w:type="dxa"/>
            <w:tcMar>
              <w:top w:type="dxa" w:w="60"/>
              <w:left w:type="dxa" w:w="120"/>
              <w:bottom w:type="dxa" w:w="30"/>
              <w:right w:type="dxa" w:w="120"/>
            </w:tcMar>
          </w:tcPr>
          <w:p>
            <w:pPr>
              <w:spacing w:before="120" w:after="120" w:line="288" w:lineRule="auto"/>
              <w:ind w:left="0"/>
              <w:jc w:val="center"/>
            </w:pP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Vec12(5)</w:t>
            </w:r>
          </w:p>
        </w:tc>
        <w:tc>
          <w:tcPr>
            <w:tcW w:w="600" w:type="dxa"/>
            <w:tcMar>
              <w:top w:type="dxa" w:w="60"/>
              <w:left w:type="dxa" w:w="120"/>
              <w:bottom w:type="dxa" w:w="30"/>
              <w:right w:type="dxa" w:w="120"/>
            </w:tcMar>
          </w:tcPr>
          <w:p>
            <w:pPr>
              <w:spacing w:before="120" w:after="120" w:line="288" w:lineRule="auto"/>
              <w:ind w:left="0"/>
              <w:jc w:val="center"/>
            </w:pP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Vec12(6)</w:t>
            </w:r>
          </w:p>
        </w:tc>
        <w:tc>
          <w:tcPr>
            <w:tcW w:w="480" w:type="dxa"/>
            <w:tcMar>
              <w:top w:type="dxa" w:w="60"/>
              <w:left w:type="dxa" w:w="120"/>
              <w:bottom w:type="dxa" w:w="30"/>
              <w:right w:type="dxa" w:w="120"/>
            </w:tcMar>
          </w:tcPr>
          <w:p>
            <w:pPr>
              <w:spacing w:before="120" w:after="120" w:line="288" w:lineRule="auto"/>
              <w:ind w:left="0"/>
              <w:jc w:val="center"/>
            </w:pPr>
          </w:p>
        </w:tc>
      </w:tr>
    </w:tbl>
    <w:p>
      <w:pPr>
        <w:pStyle w:val="2"/>
        <w:spacing w:before="320" w:after="120" w:line="288" w:lineRule="auto"/>
        <w:ind w:left="0"/>
        <w:jc w:val="left"/>
        <w:outlineLvl w:val="1"/>
      </w:pPr>
      <w:bookmarkStart w:name="heading_23" w:id="23"/>
      <w:r>
        <w:rPr>
          <w:rFonts w:eastAsia="等线" w:ascii="Arial" w:cs="Arial" w:hAnsi="Arial"/>
          <w:b w:val="true"/>
          <w:sz w:val="32"/>
        </w:rPr>
        <w:t>测试设计 (ToDO)</w:t>
      </w:r>
      <w:bookmarkEnd w:id="23"/>
    </w:p>
    <w:p>
      <w:pPr>
        <w:spacing w:before="120" w:after="120" w:line="288" w:lineRule="auto"/>
        <w:ind w:left="0"/>
        <w:jc w:val="left"/>
      </w:pPr>
    </w:p>
    <w:sectPr>
      <w:footerReference w:type="default" r:id="rId3"/>
      <w:headerReference w:type="default" r:id="rId1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46861">
    <w:lvl>
      <w:numFmt w:val="bullet"/>
      <w:suff w:val="tab"/>
      <w:lvlText w:val="•"/>
      <w:rPr>
        <w:color w:val="3370ff"/>
      </w:rPr>
    </w:lvl>
  </w:abstractNum>
  <w:abstractNum w:abstractNumId="846862">
    <w:lvl>
      <w:numFmt w:val="bullet"/>
      <w:suff w:val="tab"/>
      <w:lvlText w:val="￮"/>
      <w:rPr>
        <w:color w:val="3370ff"/>
      </w:rPr>
    </w:lvl>
  </w:abstractNum>
  <w:abstractNum w:abstractNumId="846863">
    <w:lvl>
      <w:numFmt w:val="bullet"/>
      <w:suff w:val="tab"/>
      <w:lvlText w:val="￮"/>
      <w:rPr>
        <w:color w:val="3370ff"/>
      </w:rPr>
    </w:lvl>
  </w:abstractNum>
  <w:abstractNum w:abstractNumId="846864">
    <w:lvl>
      <w:numFmt w:val="bullet"/>
      <w:suff w:val="tab"/>
      <w:lvlText w:val="•"/>
      <w:rPr>
        <w:color w:val="3370ff"/>
      </w:rPr>
    </w:lvl>
  </w:abstractNum>
  <w:abstractNum w:abstractNumId="846865">
    <w:lvl>
      <w:numFmt w:val="bullet"/>
      <w:suff w:val="tab"/>
      <w:lvlText w:val="•"/>
      <w:rPr>
        <w:color w:val="3370ff"/>
      </w:rPr>
    </w:lvl>
  </w:abstractNum>
  <w:abstractNum w:abstractNumId="846866">
    <w:lvl>
      <w:numFmt w:val="bullet"/>
      <w:suff w:val="tab"/>
      <w:lvlText w:val="•"/>
      <w:rPr>
        <w:color w:val="3370ff"/>
      </w:rPr>
    </w:lvl>
  </w:abstractNum>
  <w:abstractNum w:abstractNumId="846867">
    <w:lvl>
      <w:numFmt w:val="bullet"/>
      <w:suff w:val="tab"/>
      <w:lvlText w:val="•"/>
      <w:rPr>
        <w:color w:val="3370ff"/>
      </w:rPr>
    </w:lvl>
  </w:abstractNum>
  <w:abstractNum w:abstractNumId="846868">
    <w:lvl>
      <w:numFmt w:val="bullet"/>
      <w:suff w:val="tab"/>
      <w:lvlText w:val="•"/>
      <w:rPr>
        <w:color w:val="3370ff"/>
      </w:rPr>
    </w:lvl>
  </w:abstractNum>
  <w:abstractNum w:abstractNumId="846869">
    <w:lvl>
      <w:numFmt w:val="bullet"/>
      <w:suff w:val="tab"/>
      <w:lvlText w:val="•"/>
      <w:rPr>
        <w:color w:val="3370ff"/>
      </w:rPr>
    </w:lvl>
  </w:abstractNum>
  <w:abstractNum w:abstractNumId="846870">
    <w:lvl>
      <w:start w:val="1"/>
      <w:numFmt w:val="decimal"/>
      <w:suff w:val="tab"/>
      <w:lvlText w:val="%1."/>
      <w:rPr>
        <w:color w:val="3370ff"/>
      </w:rPr>
    </w:lvl>
  </w:abstractNum>
  <w:abstractNum w:abstractNumId="846871">
    <w:lvl>
      <w:start w:val="2"/>
      <w:numFmt w:val="decimal"/>
      <w:suff w:val="tab"/>
      <w:lvlText w:val="%1."/>
      <w:rPr>
        <w:color w:val="3370ff"/>
      </w:rPr>
    </w:lvl>
  </w:abstractNum>
  <w:num w:numId="1">
    <w:abstractNumId w:val="846861"/>
  </w:num>
  <w:num w:numId="2">
    <w:abstractNumId w:val="846862"/>
  </w:num>
  <w:num w:numId="3">
    <w:abstractNumId w:val="846863"/>
  </w:num>
  <w:num w:numId="4">
    <w:abstractNumId w:val="846864"/>
  </w:num>
  <w:num w:numId="5">
    <w:abstractNumId w:val="846865"/>
  </w:num>
  <w:num w:numId="6">
    <w:abstractNumId w:val="846866"/>
  </w:num>
  <w:num w:numId="7">
    <w:abstractNumId w:val="846867"/>
  </w:num>
  <w:num w:numId="8">
    <w:abstractNumId w:val="846868"/>
  </w:num>
  <w:num w:numId="9">
    <w:abstractNumId w:val="846869"/>
  </w:num>
  <w:num w:numId="10">
    <w:abstractNumId w:val="846870"/>
  </w:num>
  <w:num w:numId="11">
    <w:abstractNumId w:val="84687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2026-08-27T02:17:55Z</dcterms:created>
  <dc:creator>Apache POI</dc:creator>
</cp:coreProperties>
</file>