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FEC21" w14:textId="77777777" w:rsidR="00505F11" w:rsidRPr="00DC4485" w:rsidRDefault="00505F11" w:rsidP="00505F11">
      <w:pPr>
        <w:pStyle w:val="2"/>
        <w:spacing w:after="0"/>
        <w:rPr>
          <w:rFonts w:ascii="TimesNew Roman" w:eastAsia="宋体" w:hAnsi="TimesNew Roman" w:cs="Times New Roman" w:hint="eastAsia"/>
          <w:color w:val="auto"/>
          <w:sz w:val="21"/>
          <w:szCs w:val="21"/>
        </w:rPr>
      </w:pPr>
      <w:bookmarkStart w:id="0" w:name="_Toc475009021"/>
      <w:bookmarkStart w:id="1" w:name="_Toc9340504"/>
      <w:bookmarkStart w:id="2" w:name="_Toc9340240"/>
      <w:bookmarkStart w:id="3" w:name="_Toc224508564"/>
      <w:bookmarkStart w:id="4" w:name="_Toc225781559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表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14.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3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1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.</w:t>
      </w:r>
      <w:r w:rsidRPr="00DC4485">
        <w:rPr>
          <w:rFonts w:ascii="TimesNew Roman" w:eastAsia="宋体" w:hAnsi="TimesNew Roman" w:cs="Times New Roman" w:hint="eastAsia"/>
          <w:color w:val="auto"/>
          <w:sz w:val="21"/>
          <w:szCs w:val="21"/>
        </w:rPr>
        <w:t>2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 xml:space="preserve">.1 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按照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MedDRA</w:t>
      </w:r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编码的系统器官分类和首选术语总结治疗期出现的不良事件</w:t>
      </w:r>
      <w:bookmarkEnd w:id="0"/>
      <w:r w:rsidRPr="00DC4485">
        <w:rPr>
          <w:rFonts w:ascii="TimesNew Roman" w:eastAsia="宋体" w:hAnsi="TimesNew Roman" w:cs="Times New Roman"/>
          <w:color w:val="auto"/>
          <w:sz w:val="21"/>
          <w:szCs w:val="21"/>
        </w:rPr>
        <w:t>-SS</w:t>
      </w:r>
      <w:bookmarkStart w:id="5" w:name="OLE_LINK14"/>
      <w:bookmarkStart w:id="6" w:name="OLE_LINK13"/>
      <w:bookmarkEnd w:id="1"/>
      <w:bookmarkEnd w:id="2"/>
      <w:bookmarkEnd w:id="3"/>
      <w:bookmarkEnd w:id="4"/>
    </w:p>
    <w:tbl>
      <w:tblPr>
        <w:tblW w:w="5000" w:type="pct"/>
        <w:tblLook w:val="04A0" w:firstRow="1" w:lastRow="0" w:firstColumn="1" w:lastColumn="0" w:noHBand="0" w:noVBand="1"/>
      </w:tblPr>
      <w:tblGrid>
        <w:gridCol w:w="3119"/>
        <w:gridCol w:w="2664"/>
        <w:gridCol w:w="2725"/>
        <w:gridCol w:w="2725"/>
        <w:gridCol w:w="2725"/>
      </w:tblGrid>
      <w:tr w:rsidR="00505F11" w:rsidRPr="00DC4485" w14:paraId="0AF919DE" w14:textId="77777777" w:rsidTr="00D9468E">
        <w:tc>
          <w:tcPr>
            <w:tcW w:w="1117" w:type="pct"/>
            <w:vMerge w:val="restart"/>
            <w:tcBorders>
              <w:top w:val="single" w:sz="4" w:space="0" w:color="000000"/>
            </w:tcBorders>
            <w:vAlign w:val="center"/>
          </w:tcPr>
          <w:bookmarkEnd w:id="5"/>
          <w:bookmarkEnd w:id="6"/>
          <w:p w14:paraId="0742A68D" w14:textId="77777777" w:rsidR="00505F11" w:rsidRPr="00DC4485" w:rsidRDefault="00505F11" w:rsidP="00D9468E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系统器官分类</w:t>
            </w:r>
          </w:p>
          <w:p w14:paraId="22FC2CAA" w14:textId="77777777" w:rsidR="00505F11" w:rsidRPr="00DC4485" w:rsidRDefault="00505F11" w:rsidP="00D9468E">
            <w:pPr>
              <w:ind w:firstLine="241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首选术语</w:t>
            </w:r>
          </w:p>
        </w:tc>
        <w:tc>
          <w:tcPr>
            <w:tcW w:w="1930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F4A4D8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IMM01</w:t>
            </w: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联合阿扎胞苷</w:t>
            </w:r>
          </w:p>
          <w:p w14:paraId="208BF5E1" w14:textId="77777777" w:rsidR="00505F11" w:rsidRPr="00DC4485" w:rsidRDefault="00505F11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  <w:p w14:paraId="34646C1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  <w:tc>
          <w:tcPr>
            <w:tcW w:w="1952" w:type="pct"/>
            <w:gridSpan w:val="2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0B928BEA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安慰剂联合阿扎胞苷</w:t>
            </w:r>
          </w:p>
          <w:p w14:paraId="100E4B48" w14:textId="77777777" w:rsidR="00505F11" w:rsidRPr="00DC4485" w:rsidRDefault="00505F11" w:rsidP="00D9468E">
            <w:pPr>
              <w:widowControl/>
              <w:jc w:val="center"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(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N=xx)</w:t>
            </w:r>
          </w:p>
          <w:p w14:paraId="0F6AB046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n (%)</w:t>
            </w:r>
          </w:p>
        </w:tc>
      </w:tr>
      <w:tr w:rsidR="00505F11" w:rsidRPr="00DC4485" w14:paraId="4C5CE409" w14:textId="77777777" w:rsidTr="00D9468E">
        <w:tc>
          <w:tcPr>
            <w:tcW w:w="1117" w:type="pct"/>
            <w:vMerge/>
            <w:tcBorders>
              <w:bottom w:val="single" w:sz="4" w:space="0" w:color="000000"/>
            </w:tcBorders>
            <w:vAlign w:val="center"/>
          </w:tcPr>
          <w:p w14:paraId="1162021D" w14:textId="77777777" w:rsidR="00505F11" w:rsidRPr="00DC4485" w:rsidRDefault="00505F11" w:rsidP="00D9468E">
            <w:pPr>
              <w:widowControl/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</w:pPr>
          </w:p>
        </w:tc>
        <w:tc>
          <w:tcPr>
            <w:tcW w:w="954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77F7C94E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所有等级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77F2AD1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≥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vAlign w:val="center"/>
          </w:tcPr>
          <w:p w14:paraId="33E66F9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所有等级</w:t>
            </w:r>
          </w:p>
        </w:tc>
        <w:tc>
          <w:tcPr>
            <w:tcW w:w="976" w:type="pct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</w:tcPr>
          <w:p w14:paraId="2A52FA66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≥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 w:hint="eastAsia"/>
                <w:sz w:val="18"/>
                <w:szCs w:val="18"/>
              </w:rPr>
              <w:t>级</w:t>
            </w:r>
          </w:p>
        </w:tc>
      </w:tr>
      <w:tr w:rsidR="00505F11" w:rsidRPr="00DC4485" w14:paraId="319D1FDB" w14:textId="77777777" w:rsidTr="00D9468E">
        <w:tc>
          <w:tcPr>
            <w:tcW w:w="1117" w:type="pct"/>
            <w:tcBorders>
              <w:top w:val="single" w:sz="4" w:space="0" w:color="000000"/>
            </w:tcBorders>
            <w:vAlign w:val="bottom"/>
          </w:tcPr>
          <w:p w14:paraId="22A503F7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所有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TEAE</w:t>
            </w:r>
          </w:p>
        </w:tc>
        <w:tc>
          <w:tcPr>
            <w:tcW w:w="954" w:type="pct"/>
            <w:tcBorders>
              <w:top w:val="single" w:sz="4" w:space="0" w:color="000000"/>
            </w:tcBorders>
          </w:tcPr>
          <w:p w14:paraId="2F95D447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21FD6E74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128316A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  <w:tcBorders>
              <w:top w:val="single" w:sz="4" w:space="0" w:color="000000"/>
            </w:tcBorders>
          </w:tcPr>
          <w:p w14:paraId="4A080B0F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5420F77A" w14:textId="77777777" w:rsidTr="00D9468E">
        <w:tc>
          <w:tcPr>
            <w:tcW w:w="1117" w:type="pct"/>
          </w:tcPr>
          <w:p w14:paraId="73DBF37D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54" w:type="pct"/>
          </w:tcPr>
          <w:p w14:paraId="581907EE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535229AD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1215A12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62D302D8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</w:tr>
      <w:tr w:rsidR="00505F11" w:rsidRPr="00DC4485" w14:paraId="2B8DAC9F" w14:textId="77777777" w:rsidTr="00D9468E">
        <w:tc>
          <w:tcPr>
            <w:tcW w:w="1117" w:type="pct"/>
          </w:tcPr>
          <w:p w14:paraId="0FC2E973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&lt;SOC 1&gt;</w:t>
            </w:r>
          </w:p>
        </w:tc>
        <w:tc>
          <w:tcPr>
            <w:tcW w:w="954" w:type="pct"/>
          </w:tcPr>
          <w:p w14:paraId="4382AA5B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06CE4D23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371F6A8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61054B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2D21D59B" w14:textId="77777777" w:rsidTr="00D9468E">
        <w:tc>
          <w:tcPr>
            <w:tcW w:w="1117" w:type="pct"/>
          </w:tcPr>
          <w:p w14:paraId="75240A94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&lt;PT1&gt;</w:t>
            </w:r>
          </w:p>
        </w:tc>
        <w:tc>
          <w:tcPr>
            <w:tcW w:w="954" w:type="pct"/>
          </w:tcPr>
          <w:p w14:paraId="02B6C02A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7F6AA0E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0CE6A7AB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07BB07AB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78C102CD" w14:textId="77777777" w:rsidTr="00D9468E">
        <w:tc>
          <w:tcPr>
            <w:tcW w:w="1117" w:type="pct"/>
          </w:tcPr>
          <w:p w14:paraId="060C74C7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2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26E8A52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4613844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75C5A453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A3E07E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502A8C4E" w14:textId="77777777" w:rsidTr="00D9468E">
        <w:tc>
          <w:tcPr>
            <w:tcW w:w="1117" w:type="pct"/>
          </w:tcPr>
          <w:p w14:paraId="1F9557EE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3F5AF6D7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1FBC647C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19679C6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6E6D29C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48217940" w14:textId="77777777" w:rsidTr="00D9468E">
        <w:tc>
          <w:tcPr>
            <w:tcW w:w="1117" w:type="pct"/>
          </w:tcPr>
          <w:p w14:paraId="0B5559D1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54" w:type="pct"/>
          </w:tcPr>
          <w:p w14:paraId="6463535B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5181BF3F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7992B105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  <w:tc>
          <w:tcPr>
            <w:tcW w:w="976" w:type="pct"/>
          </w:tcPr>
          <w:p w14:paraId="0B9E048E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</w:p>
        </w:tc>
      </w:tr>
      <w:tr w:rsidR="00505F11" w:rsidRPr="00DC4485" w14:paraId="37A9F5D1" w14:textId="77777777" w:rsidTr="00D9468E">
        <w:tc>
          <w:tcPr>
            <w:tcW w:w="1117" w:type="pct"/>
          </w:tcPr>
          <w:p w14:paraId="473578E5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&lt;SOC 2&gt;</w:t>
            </w:r>
          </w:p>
        </w:tc>
        <w:tc>
          <w:tcPr>
            <w:tcW w:w="954" w:type="pct"/>
          </w:tcPr>
          <w:p w14:paraId="696BD19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853827D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6C1D4F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5131218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7A3007F5" w14:textId="77777777" w:rsidTr="00D9468E">
        <w:tc>
          <w:tcPr>
            <w:tcW w:w="1117" w:type="pct"/>
          </w:tcPr>
          <w:p w14:paraId="0E481744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&lt;PT1&gt;</w:t>
            </w:r>
          </w:p>
        </w:tc>
        <w:tc>
          <w:tcPr>
            <w:tcW w:w="954" w:type="pct"/>
          </w:tcPr>
          <w:p w14:paraId="7EB131FD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ED7B024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38D516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3F7803A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06BBFD84" w14:textId="77777777" w:rsidTr="00D9468E">
        <w:tc>
          <w:tcPr>
            <w:tcW w:w="1117" w:type="pct"/>
          </w:tcPr>
          <w:p w14:paraId="1FAE455B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2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7BA77791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2A2E8C4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1EC8810B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0D0B54AC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2C24848C" w14:textId="77777777" w:rsidTr="00D9468E">
        <w:tc>
          <w:tcPr>
            <w:tcW w:w="1117" w:type="pct"/>
          </w:tcPr>
          <w:p w14:paraId="74F958D0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 xml:space="preserve">  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&lt;PT</w:t>
            </w:r>
            <w:r w:rsidRPr="00DC4485">
              <w:rPr>
                <w:rFonts w:ascii="TimesNew Roman" w:eastAsia="宋体" w:hAnsi="TimesNew Roman" w:cs="Times New Roman" w:hint="eastAsia"/>
                <w:kern w:val="0"/>
                <w:sz w:val="18"/>
                <w:szCs w:val="18"/>
              </w:rPr>
              <w:t>3</w:t>
            </w:r>
            <w:r w:rsidRPr="00DC4485">
              <w:rPr>
                <w:rFonts w:ascii="TimesNew Roman" w:eastAsia="宋体" w:hAnsi="TimesNew Roman" w:cs="Times New Roman"/>
                <w:kern w:val="0"/>
                <w:sz w:val="18"/>
                <w:szCs w:val="18"/>
              </w:rPr>
              <w:t>&gt;</w:t>
            </w:r>
          </w:p>
        </w:tc>
        <w:tc>
          <w:tcPr>
            <w:tcW w:w="954" w:type="pct"/>
          </w:tcPr>
          <w:p w14:paraId="1CD115AE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1C398044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64FA723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  <w:tc>
          <w:tcPr>
            <w:tcW w:w="976" w:type="pct"/>
          </w:tcPr>
          <w:p w14:paraId="76FB923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xx (xx.x)</w:t>
            </w:r>
          </w:p>
        </w:tc>
      </w:tr>
      <w:tr w:rsidR="00505F11" w:rsidRPr="00DC4485" w14:paraId="65E4718C" w14:textId="77777777" w:rsidTr="00D9468E">
        <w:tc>
          <w:tcPr>
            <w:tcW w:w="1117" w:type="pct"/>
            <w:tcBorders>
              <w:bottom w:val="single" w:sz="4" w:space="0" w:color="000000"/>
            </w:tcBorders>
          </w:tcPr>
          <w:p w14:paraId="0FFDB66B" w14:textId="77777777" w:rsidR="00505F11" w:rsidRPr="00DC4485" w:rsidRDefault="00505F11" w:rsidP="00D9468E">
            <w:pPr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54" w:type="pct"/>
            <w:tcBorders>
              <w:bottom w:val="single" w:sz="4" w:space="0" w:color="000000"/>
            </w:tcBorders>
          </w:tcPr>
          <w:p w14:paraId="134BEC42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62B35B18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15BA8DA0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  <w:tc>
          <w:tcPr>
            <w:tcW w:w="976" w:type="pct"/>
            <w:tcBorders>
              <w:bottom w:val="single" w:sz="4" w:space="0" w:color="000000"/>
            </w:tcBorders>
          </w:tcPr>
          <w:p w14:paraId="30D7E7CD" w14:textId="77777777" w:rsidR="00505F11" w:rsidRPr="00DC4485" w:rsidRDefault="00505F11" w:rsidP="00D9468E">
            <w:pPr>
              <w:jc w:val="center"/>
              <w:rPr>
                <w:rFonts w:ascii="TimesNew Roman" w:eastAsia="宋体" w:hAnsi="TimesNew Roman" w:cs="Times New Roman" w:hint="eastAsia"/>
                <w:sz w:val="18"/>
                <w:szCs w:val="18"/>
              </w:rPr>
            </w:pPr>
            <w:r w:rsidRPr="00DC4485">
              <w:rPr>
                <w:rFonts w:ascii="TimesNew Roman" w:eastAsia="宋体" w:hAnsi="TimesNew Roman" w:cs="Times New Roman"/>
                <w:sz w:val="18"/>
                <w:szCs w:val="18"/>
              </w:rPr>
              <w:t>…</w:t>
            </w:r>
          </w:p>
        </w:tc>
      </w:tr>
    </w:tbl>
    <w:p w14:paraId="07E4EC0B" w14:textId="77777777" w:rsidR="00505F11" w:rsidRPr="00DC4485" w:rsidRDefault="00505F11" w:rsidP="00505F11">
      <w:pPr>
        <w:autoSpaceDE w:val="0"/>
        <w:autoSpaceDN w:val="0"/>
        <w:adjustRightInd w:val="0"/>
        <w:rPr>
          <w:rFonts w:ascii="TimesNew Roman" w:eastAsia="宋体" w:hAnsi="TimesNew Roman" w:cs="Times New Roman" w:hint="eastAsia"/>
          <w:sz w:val="18"/>
          <w:szCs w:val="18"/>
        </w:rPr>
      </w:pP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注：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MedDRA version 2</w:t>
      </w:r>
      <w:r w:rsidRPr="00DC4485">
        <w:rPr>
          <w:rFonts w:ascii="TimesNew Roman" w:eastAsia="宋体" w:hAnsi="TimesNew Roman" w:cs="Times New Roman" w:hint="eastAsia"/>
          <w:sz w:val="18"/>
          <w:szCs w:val="18"/>
          <w:shd w:val="clear" w:color="auto" w:fill="FFFFFF"/>
        </w:rPr>
        <w:t>8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.1</w:t>
      </w:r>
      <w:r w:rsidRPr="00DC4485">
        <w:rPr>
          <w:rFonts w:ascii="TimesNew Roman" w:eastAsia="宋体" w:hAnsi="TimesNew Roman" w:cs="Times New Roman"/>
          <w:sz w:val="18"/>
          <w:szCs w:val="18"/>
          <w:shd w:val="clear" w:color="auto" w:fill="FFFFFF"/>
        </w:rPr>
        <w:t>。</w:t>
      </w:r>
      <w:r w:rsidRPr="00DC4485">
        <w:rPr>
          <w:rFonts w:ascii="TimesNew Roman" w:eastAsia="宋体" w:hAnsi="TimesNew Roman" w:cs="Times New Roman"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sz w:val="18"/>
          <w:szCs w:val="18"/>
        </w:rPr>
        <w:t>使用不良事件通用术语标准版</w:t>
      </w:r>
      <w:r w:rsidRPr="00DC4485">
        <w:rPr>
          <w:rFonts w:ascii="TimesNew Roman" w:eastAsia="宋体" w:hAnsi="TimesNew Roman" w:cs="Times New Roman"/>
          <w:sz w:val="18"/>
          <w:szCs w:val="18"/>
        </w:rPr>
        <w:t>5.0</w:t>
      </w:r>
      <w:r w:rsidRPr="00DC4485">
        <w:rPr>
          <w:rFonts w:ascii="TimesNew Roman" w:eastAsia="宋体" w:hAnsi="TimesNew Roman" w:cs="Times New Roman"/>
          <w:sz w:val="18"/>
          <w:szCs w:val="18"/>
        </w:rPr>
        <w:t>。同一参与者多次发生的不良事件，在计算例数时仅在</w:t>
      </w:r>
      <w:r w:rsidRPr="00DC4485">
        <w:rPr>
          <w:rFonts w:ascii="TimesNew Roman" w:eastAsia="宋体" w:hAnsi="TimesNew Roman" w:cs="Times New Roman"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sz w:val="18"/>
          <w:szCs w:val="18"/>
        </w:rPr>
        <w:t>等级最严重程度计数一次。</w:t>
      </w:r>
    </w:p>
    <w:p w14:paraId="74400FD9" w14:textId="77777777" w:rsidR="00505F11" w:rsidRPr="00DC4485" w:rsidRDefault="00505F11" w:rsidP="00505F11">
      <w:pPr>
        <w:autoSpaceDE w:val="0"/>
        <w:autoSpaceDN w:val="0"/>
        <w:adjustRightInd w:val="0"/>
        <w:rPr>
          <w:rFonts w:ascii="TimesNew Roman" w:eastAsia="宋体" w:hAnsi="TimesNew Roman" w:cs="Times New Roman" w:hint="eastAsia"/>
          <w:sz w:val="18"/>
          <w:szCs w:val="18"/>
        </w:rPr>
      </w:pPr>
      <w:bookmarkStart w:id="7" w:name="OLE_LINK8"/>
      <w:r w:rsidRPr="00DC4485">
        <w:rPr>
          <w:rFonts w:ascii="TimesNew Roman" w:eastAsia="宋体" w:hAnsi="TimesNew Roman" w:cs="Times New Roman"/>
          <w:sz w:val="18"/>
          <w:szCs w:val="18"/>
        </w:rPr>
        <w:t>治疗期出现的不良事件</w:t>
      </w:r>
      <w:r w:rsidRPr="00DC4485">
        <w:rPr>
          <w:rFonts w:ascii="TimesNew Roman" w:eastAsia="宋体" w:hAnsi="TimesNew Roman" w:cs="Times New Roman" w:hint="eastAsia"/>
          <w:sz w:val="18"/>
          <w:szCs w:val="18"/>
        </w:rPr>
        <w:t>（</w:t>
      </w:r>
      <w:r w:rsidRPr="00DC4485">
        <w:rPr>
          <w:rFonts w:ascii="TimesNew Roman" w:eastAsia="宋体" w:hAnsi="TimesNew Roman" w:cs="Times New Roman"/>
          <w:sz w:val="18"/>
          <w:szCs w:val="18"/>
        </w:rPr>
        <w:t>TEAE</w:t>
      </w:r>
      <w:r w:rsidRPr="00DC4485">
        <w:rPr>
          <w:rFonts w:ascii="TimesNew Roman" w:eastAsia="宋体" w:hAnsi="TimesNew Roman" w:cs="Times New Roman" w:hint="eastAsia"/>
          <w:sz w:val="18"/>
          <w:szCs w:val="18"/>
        </w:rPr>
        <w:t>）</w:t>
      </w:r>
      <w:r w:rsidRPr="00DC4485">
        <w:rPr>
          <w:rFonts w:ascii="TimesNew Roman" w:eastAsia="宋体" w:hAnsi="TimesNew Roman" w:cs="Times New Roman"/>
          <w:sz w:val="18"/>
          <w:szCs w:val="18"/>
        </w:rPr>
        <w:t>定义为：发生于第一次使用研究药物之后；或在使用研究药物之前已发生，但使用研究药物期间加重，至最后一次用药日期</w:t>
      </w:r>
      <w:r w:rsidRPr="00DC4485">
        <w:rPr>
          <w:rFonts w:ascii="TimesNew Roman" w:eastAsia="宋体" w:hAnsi="TimesNew Roman" w:cs="Times New Roman"/>
          <w:sz w:val="18"/>
          <w:szCs w:val="18"/>
        </w:rPr>
        <w:t>+35</w:t>
      </w:r>
      <w:r w:rsidRPr="00DC4485">
        <w:rPr>
          <w:rFonts w:ascii="TimesNew Roman" w:eastAsia="宋体" w:hAnsi="TimesNew Roman" w:cs="Times New Roman"/>
          <w:sz w:val="18"/>
          <w:szCs w:val="18"/>
        </w:rPr>
        <w:t>天区间内或新抗肿瘤治疗前（以先发生者为准）的不良事件。</w:t>
      </w:r>
    </w:p>
    <w:bookmarkEnd w:id="7"/>
    <w:p w14:paraId="58ACFE54" w14:textId="77777777" w:rsidR="00505F11" w:rsidRPr="00DC4485" w:rsidRDefault="00505F11" w:rsidP="00505F11">
      <w:pPr>
        <w:rPr>
          <w:rFonts w:ascii="TimesNew Roman" w:eastAsia="宋体" w:hAnsi="TimesNew Roman" w:cs="Times New Roman" w:hint="eastAsia"/>
          <w:sz w:val="18"/>
          <w:szCs w:val="18"/>
        </w:rPr>
      </w:pPr>
    </w:p>
    <w:p w14:paraId="7FA5B826" w14:textId="77777777" w:rsidR="00505F11" w:rsidRPr="00DC4485" w:rsidRDefault="00505F11" w:rsidP="00505F11">
      <w:pPr>
        <w:rPr>
          <w:rFonts w:ascii="TimesNew Roman" w:eastAsia="宋体" w:hAnsi="TimesNew Roman" w:cs="Times New Roman" w:hint="eastAsia"/>
          <w:b/>
          <w:bCs/>
          <w:sz w:val="18"/>
          <w:szCs w:val="18"/>
        </w:rPr>
      </w:pP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编程说明：所有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AE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表格按照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IMM01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联合阿扎胞苷组不良事件的发生率的降序进行排序。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CTCAE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等级中任何等级需要包含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missing grade</w:t>
      </w:r>
      <w:r w:rsidRPr="00DC4485">
        <w:rPr>
          <w:rFonts w:ascii="TimesNew Roman" w:eastAsia="宋体" w:hAnsi="TimesNew Roman" w:cs="Times New Roman"/>
          <w:b/>
          <w:bCs/>
          <w:sz w:val="18"/>
          <w:szCs w:val="18"/>
        </w:rPr>
        <w:t>的情况；其余表同理。未编码请显示在表格最后。</w:t>
      </w:r>
    </w:p>
    <w:p w14:paraId="64FCDB37" w14:textId="77777777" w:rsidR="00A2418A" w:rsidRPr="00505F11" w:rsidRDefault="00A2418A">
      <w:pPr>
        <w:rPr>
          <w:rFonts w:hint="eastAsia"/>
        </w:rPr>
      </w:pPr>
    </w:p>
    <w:sectPr w:rsidR="00A2418A" w:rsidRPr="00505F11" w:rsidSect="00505F11">
      <w:pgSz w:w="16838" w:h="11906" w:orient="landscape"/>
      <w:pgMar w:top="1797" w:right="1440" w:bottom="1797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6CF42" w14:textId="77777777" w:rsidR="00E41A97" w:rsidRDefault="00E41A97" w:rsidP="00505F11">
      <w:pPr>
        <w:rPr>
          <w:rFonts w:hint="eastAsia"/>
        </w:rPr>
      </w:pPr>
      <w:r>
        <w:separator/>
      </w:r>
    </w:p>
  </w:endnote>
  <w:endnote w:type="continuationSeparator" w:id="0">
    <w:p w14:paraId="3AEBA9C6" w14:textId="77777777" w:rsidR="00E41A97" w:rsidRDefault="00E41A97" w:rsidP="00505F11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New Roman">
    <w:altName w:val="Times New Roman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A5A345" w14:textId="77777777" w:rsidR="00E41A97" w:rsidRDefault="00E41A97" w:rsidP="00505F11">
      <w:pPr>
        <w:rPr>
          <w:rFonts w:hint="eastAsia"/>
        </w:rPr>
      </w:pPr>
      <w:r>
        <w:separator/>
      </w:r>
    </w:p>
  </w:footnote>
  <w:footnote w:type="continuationSeparator" w:id="0">
    <w:p w14:paraId="1A064DA1" w14:textId="77777777" w:rsidR="00E41A97" w:rsidRDefault="00E41A97" w:rsidP="00505F11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61E"/>
    <w:rsid w:val="00505F11"/>
    <w:rsid w:val="0072761E"/>
    <w:rsid w:val="00733C35"/>
    <w:rsid w:val="0085676A"/>
    <w:rsid w:val="00A2418A"/>
    <w:rsid w:val="00C14EE0"/>
    <w:rsid w:val="00E4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B5256EB-0EA6-4B92-B046-965614418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5F11"/>
    <w:pPr>
      <w:widowControl w:val="0"/>
      <w:spacing w:after="0" w:line="240" w:lineRule="auto"/>
      <w:jc w:val="both"/>
    </w:pPr>
    <w:rPr>
      <w:sz w:val="21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2761E"/>
    <w:pPr>
      <w:keepNext/>
      <w:keepLines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72761E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61E"/>
    <w:pPr>
      <w:keepNext/>
      <w:keepLines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61E"/>
    <w:pPr>
      <w:keepNext/>
      <w:keepLines/>
      <w:spacing w:before="80" w:after="40" w:line="278" w:lineRule="auto"/>
      <w:jc w:val="left"/>
      <w:outlineLvl w:val="3"/>
    </w:pPr>
    <w:rPr>
      <w:rFonts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61E"/>
    <w:pPr>
      <w:keepNext/>
      <w:keepLines/>
      <w:spacing w:before="80" w:after="40" w:line="278" w:lineRule="auto"/>
      <w:jc w:val="left"/>
      <w:outlineLvl w:val="4"/>
    </w:pPr>
    <w:rPr>
      <w:rFonts w:cstheme="majorBidi"/>
      <w:color w:val="0F4761" w:themeColor="accent1" w:themeShade="BF"/>
      <w:sz w:val="24"/>
      <w:szCs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61E"/>
    <w:pPr>
      <w:keepNext/>
      <w:keepLines/>
      <w:spacing w:before="40" w:line="278" w:lineRule="auto"/>
      <w:jc w:val="left"/>
      <w:outlineLvl w:val="5"/>
    </w:pPr>
    <w:rPr>
      <w:rFonts w:cstheme="majorBidi"/>
      <w:b/>
      <w:bCs/>
      <w:color w:val="0F4761" w:themeColor="accent1" w:themeShade="BF"/>
      <w:sz w:val="22"/>
      <w:szCs w:val="24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61E"/>
    <w:pPr>
      <w:keepNext/>
      <w:keepLines/>
      <w:spacing w:before="40" w:line="278" w:lineRule="auto"/>
      <w:jc w:val="left"/>
      <w:outlineLvl w:val="6"/>
    </w:pPr>
    <w:rPr>
      <w:rFonts w:cstheme="majorBidi"/>
      <w:b/>
      <w:bCs/>
      <w:color w:val="595959" w:themeColor="text1" w:themeTint="A6"/>
      <w:sz w:val="22"/>
      <w:szCs w:val="24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61E"/>
    <w:pPr>
      <w:keepNext/>
      <w:keepLines/>
      <w:spacing w:line="278" w:lineRule="auto"/>
      <w:jc w:val="left"/>
      <w:outlineLvl w:val="7"/>
    </w:pPr>
    <w:rPr>
      <w:rFonts w:cstheme="majorBidi"/>
      <w:color w:val="595959" w:themeColor="text1" w:themeTint="A6"/>
      <w:sz w:val="22"/>
      <w:szCs w:val="24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61E"/>
    <w:pPr>
      <w:keepNext/>
      <w:keepLines/>
      <w:spacing w:line="278" w:lineRule="auto"/>
      <w:jc w:val="left"/>
      <w:outlineLvl w:val="8"/>
    </w:pPr>
    <w:rPr>
      <w:rFonts w:eastAsiaTheme="majorEastAsia" w:cstheme="majorBidi"/>
      <w:color w:val="595959" w:themeColor="text1" w:themeTint="A6"/>
      <w:sz w:val="22"/>
      <w:szCs w:val="24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276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qFormat/>
    <w:rsid w:val="007276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276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2761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2761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2761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276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276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276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2761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727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61E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7276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2761E"/>
    <w:pPr>
      <w:spacing w:before="160" w:after="160" w:line="278" w:lineRule="auto"/>
      <w:jc w:val="center"/>
    </w:pPr>
    <w:rPr>
      <w:i/>
      <w:iCs/>
      <w:color w:val="404040" w:themeColor="text1" w:themeTint="BF"/>
      <w:sz w:val="22"/>
      <w:szCs w:val="24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7276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2761E"/>
    <w:pPr>
      <w:spacing w:after="160" w:line="278" w:lineRule="auto"/>
      <w:ind w:left="720"/>
      <w:contextualSpacing/>
      <w:jc w:val="left"/>
    </w:pPr>
    <w:rPr>
      <w:sz w:val="22"/>
      <w:szCs w:val="24"/>
      <w14:ligatures w14:val="standardContextual"/>
    </w:rPr>
  </w:style>
  <w:style w:type="character" w:styleId="aa">
    <w:name w:val="Intense Emphasis"/>
    <w:basedOn w:val="a0"/>
    <w:uiPriority w:val="21"/>
    <w:qFormat/>
    <w:rsid w:val="007276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276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2"/>
      <w:szCs w:val="24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7276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2761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05F11"/>
    <w:pPr>
      <w:tabs>
        <w:tab w:val="center" w:pos="4153"/>
        <w:tab w:val="right" w:pos="8306"/>
      </w:tabs>
      <w:snapToGrid w:val="0"/>
      <w:spacing w:after="160"/>
      <w:jc w:val="center"/>
    </w:pPr>
    <w:rPr>
      <w:sz w:val="18"/>
      <w:szCs w:val="18"/>
      <w14:ligatures w14:val="standardContextual"/>
    </w:rPr>
  </w:style>
  <w:style w:type="character" w:customStyle="1" w:styleId="af">
    <w:name w:val="页眉 字符"/>
    <w:basedOn w:val="a0"/>
    <w:link w:val="ae"/>
    <w:uiPriority w:val="99"/>
    <w:rsid w:val="00505F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05F11"/>
    <w:pPr>
      <w:tabs>
        <w:tab w:val="center" w:pos="4153"/>
        <w:tab w:val="right" w:pos="8306"/>
      </w:tabs>
      <w:snapToGrid w:val="0"/>
      <w:spacing w:after="160"/>
      <w:jc w:val="left"/>
    </w:pPr>
    <w:rPr>
      <w:sz w:val="18"/>
      <w:szCs w:val="18"/>
      <w14:ligatures w14:val="standardContextual"/>
    </w:rPr>
  </w:style>
  <w:style w:type="character" w:customStyle="1" w:styleId="af1">
    <w:name w:val="页脚 字符"/>
    <w:basedOn w:val="a0"/>
    <w:link w:val="af0"/>
    <w:uiPriority w:val="99"/>
    <w:rsid w:val="00505F1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745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郭 群</dc:creator>
  <cp:keywords/>
  <dc:description/>
  <cp:lastModifiedBy>郭 群</cp:lastModifiedBy>
  <cp:revision>2</cp:revision>
  <dcterms:created xsi:type="dcterms:W3CDTF">2026-04-01T08:20:00Z</dcterms:created>
  <dcterms:modified xsi:type="dcterms:W3CDTF">2026-04-01T08:20:00Z</dcterms:modified>
</cp:coreProperties>
</file>