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C0F3B" w14:textId="77777777" w:rsidR="00A2418A" w:rsidRDefault="00A2418A" w:rsidP="00126A96"/>
    <w:p>
      <w:pPr>
        <w:pStyle w:val="1"/>
      </w:pPr>
      <w:r>
        <w:t xml:space="preserve">目录</w:t>
      </w:r>
    </w:p>
    <w:p>
      <w:pPr/>
      <w:r>
        <w:rPr/>
        <w:fldChar w:fldCharType="begin" w:dirty="true"/>
      </w:r>
      <w:r>
        <w:rPr/>
        <w:instrText xml:space="preserve" w:dirty="true">TOC \o "1-2" \h \z \u</w:instrText>
      </w:r>
      <w:r>
        <w:rPr/>
        <w:fldChar w:fldCharType="end" w:dirty="true"/>
      </w:r>
    </w:p>
    <w:p>
      <w:pPr/>
      <w:r>
        <w:br w:type="page"/>
      </w:r>
    </w:p>
    <w:p>
      <w:pPr>
        <w:pStyle w:val="1"/>
      </w:pPr>
      <w:r>
        <w:t xml:space="preserve">14.1 参与者特征</w:t>
      </w:r>
    </w:p>
    <w:p>
      <w:pPr>
        <w:pStyle w:val="2"/>
      </w:pPr>
      <w:r>
        <w:t xml:space="preserve">表14.1.1.1 参与者分布 - 所有筛选参与者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指标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IMM01联合阿扎胞苷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安慰剂联合阿扎胞苷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合计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筛选例数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  未成功入组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  不满足所有入选标准或满足任一排除标准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  参与者或其法定代理人撤回知情同意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成功随机入组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  随机入组但未给药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终止治疗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  参与者死亡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  申办方终止研究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  妊娠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  失访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  其他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仍在研究中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退出研究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  参与者或其法定代理人撤回知情同意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  死亡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  失访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  本研究终止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  完成规定时限的研究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  其他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</w:tr>
    </w:tbl>
    <w:p>
      <w:pPr>
        <w:pStyle w:val="a"/>
      </w:pPr>
      <w:r>
        <w:t xml:space="preserve">注： 除筛选失败和随机入组的分母为筛选总例数外，其余百分数的计算均以随机入组人数作为分母。</w:t>
      </w:r>
    </w:p>
    <w:p>
      <w:pPr>
        <w:pStyle w:val="2"/>
      </w:pPr>
      <w:r>
        <w:t xml:space="preserve">表14.1.3.1 人口学与基线特征 - ITT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指标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IMM01联合阿扎胞苷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安慰剂联合阿扎胞苷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合计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年龄（岁）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  例数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  均值（标准差）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xx.x (xx.xx)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xx.x (xx.xx)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xx.x (xx.xx)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  中位数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xx.x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xx.x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xx.x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  最小值 - 最大值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– xx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– xx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– xx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年龄分组，n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  &lt;65岁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  ≥65 岁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</w:tr>
    </w:tbl>
    <w:p>
      <w:pPr>
        <w:pStyle w:val="a"/>
      </w:pPr>
      <w:r>
        <w:t xml:space="preserve">注： 年龄（岁）=（知情同意日期-出生日期）/365.25，向下取整。</w:t>
      </w:r>
    </w:p>
    <w:p>
      <w:pPr>
        <w:pStyle w:val="a"/>
      </w:pPr>
      <w:r>
        <w:t xml:space="preserve">编程说明： 对各参数，若存在缺失数据，则增加“缺失”分类。</w:t>
      </w:r>
    </w:p>
    <w:p>
      <w:pPr>
        <w:pStyle w:val="1"/>
      </w:pPr>
      <w:r>
        <w:t xml:space="preserve">14.2 疗效分析</w:t>
      </w:r>
    </w:p>
    <w:p>
      <w:pPr>
        <w:pStyle w:val="2"/>
      </w:pPr>
      <w:r>
        <w:t xml:space="preserve">表14.2.1.1 总生存期Kaplan-Meier曲线 - ITT</w:t>
      </w:r>
    </w:p>
    <w:p>
      <w:pPr>
        <w:pStyle w:val="a"/>
      </w:pPr>
      <w:r>
        <w:rPr/>
        <w:drawing>
          <wp:inline distT="0" distB="0" distL="0" distR="0">
            <wp:extent cx="5486400" cy="41148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"/>
      </w:pPr>
      <w:r>
        <w:t xml:space="preserve">14.3 安全性分析</w:t>
      </w:r>
    </w:p>
    <w:p>
      <w:pPr>
        <w:pStyle w:val="2"/>
      </w:pPr>
      <w:r>
        <w:t xml:space="preserve">表14.3.1.2.1 按照MedDRA编码的系统器官分类和首选术语总结治疗期出现的不良事件 - SS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IMM01联合阿扎胞苷</w:t>
            </w:r>
          </w:p>
        </w:tc>
        <w:tc>
          <w:tcPr>
            <w:gridSpan w:val="2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安慰剂联合阿扎胞苷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系统器官分类 (SOC) /首选术语 (PT))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所有级别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≥3级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所有级别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≥3级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所有TEAE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&lt;SOC 1&gt;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    &lt;PT1&gt;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    &lt;PT2&gt;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    &lt;PT3&gt;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&lt;SOC 2&gt;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    &lt;PT1&gt;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    &lt;PT2&gt;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    &lt;PT3&gt;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(xx.x)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…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…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…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…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…</w:t>
            </w:r>
          </w:p>
        </w:tc>
      </w:tr>
    </w:tbl>
    <w:p>
      <w:pPr>
        <w:pStyle w:val="a"/>
      </w:pPr>
      <w:r>
        <w:t xml:space="preserve">注： MedDRA version 28.1。 CTCAE使用不良事件通用术语标准版5.0。 同一参与者多次发生的不良事件，在计算例数时仅在CTCAE等级最严重程度计数一次。 治疗期出现的不良事件（TEAE）定义为：发生于第一次使用研究药物之后；或在使用研究药物之前已发生，但使用研究药物期间加重，至最后一次用药日期+35天区间内或新抗肿瘤治疗前（以先发生者为准）的不良事件。</w:t>
      </w:r>
    </w:p>
    <w:p>
      <w:pPr>
        <w:pStyle w:val="a"/>
      </w:pPr>
      <w:r>
        <w:t xml:space="preserve">编程说明： 所有AE表格按照IMM01联合阿扎胞苷组不良事件的发生率的降序进行排序。CTCAE等级中任何等级需要包含missing grade的情况；其余表同理。未编码请显示在表格最后。</w:t>
      </w:r>
    </w:p>
    <w:p>
      <w:pPr>
        <w:pStyle w:val="2"/>
      </w:pPr>
      <w:r>
        <w:t xml:space="preserve">表14.3.3.1.1 实验室检查：血常规检查结果和相对基线变化值总结 - SS</w:t>
      </w:r>
    </w:p>
    <w:p>
      <w:pPr>
        <w:pStyle w:val="a"/>
      </w:pPr>
      <w:r>
        <w:t xml:space="preserve">参数：白细胞计数（109/L）  &lt;请重复其它参数（单位）&gt;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访视.统计量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IMM01联合阿扎胞苷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安慰剂联合阿扎胞苷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基线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  例数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 (xx)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  均值（标准差）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xx.x (xx.xx)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xx.x (xx.xx)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  中位数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xx.x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xx.x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  最小值,最大值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xx,xx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xx,xx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&lt;重复其他分析访视&gt;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</w:tbl>
    <w:p>
      <w:pPr>
        <w:pStyle w:val="a"/>
      </w:pPr>
      <w:r>
        <w:t xml:space="preserve">注： 基线定义为首次给予研究药物前的末次非缺失测量；</w:t>
      </w:r>
    </w:p>
    <w:p>
      <w:pPr>
        <w:pStyle w:val="1"/>
      </w:pPr>
      <w:r>
        <w:t xml:space="preserve">14.5 免疫原性分析</w:t>
      </w:r>
    </w:p>
    <w:p>
      <w:pPr>
        <w:pStyle w:val="2"/>
      </w:pPr>
      <w:r>
        <w:t xml:space="preserve">表14.5.1.1 免疫原性结果按计划访视汇总 - IS</w:t>
      </w:r>
    </w:p>
    <w:p>
      <w:pPr>
        <w:pStyle w:val="a"/>
      </w:pPr>
      <w:r>
        <w:t xml:space="preserve">统计量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访视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指标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IMM01联合阿扎胞苷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基线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ADA阴性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ADA阳性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xx.xx (xx.xxx)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  Nab阴性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xx.xx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  Nab阳性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xx.xx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  缺失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xx.x – xx.x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CxDy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ADA阴性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ADA阳性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xx.xx (xx.xxx)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  Nab阴性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xx.xx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  Nab阳性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xx.xx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  缺失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xx.x – xx.x</w:t>
            </w:r>
          </w:p>
        </w:tc>
      </w:tr>
    </w:tbl>
    <w:p>
      <w:pPr>
        <w:pStyle w:val="1"/>
      </w:pPr>
      <w:r>
        <w:t xml:space="preserve">列表 参与者特征</w:t>
      </w:r>
    </w:p>
    <w:p>
      <w:pPr>
        <w:pStyle w:val="2"/>
      </w:pPr>
      <w:r>
        <w:t xml:space="preserve">列表16.2.1.3 参与者分布 - ITT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治疗组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参与者编号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随机入组日期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IMM01/安慰剂首次给药日期（研究日）/末次给药日期（研究日）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IMM01/安慰剂确认结束治疗日期（研究日）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IMM01/安慰剂结束治疗主要原因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阿扎胞苷确认结束治疗日期（研究日）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阿扎胞苷治疗结束主要原因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研究结束日期（研究日）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研究结束原因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</w:tbl>
    <w:p>
      <w:pPr>
        <w:pStyle w:val="a"/>
      </w:pPr>
      <w:r>
        <w:t xml:space="preserve">注： 研究日=事件/检查/评估日期 - 随机日期 + 1。</w:t>
      </w:r>
    </w:p>
    <w:p>
      <w:pPr>
        <w:pStyle w:val="a"/>
      </w:pPr>
      <w:r>
        <w:t xml:space="preserve">编程说明： 终止治疗原因若为“其他”，请显示具体原因，如“其他：xxx”；研究结束原因同理。</w:t>
      </w:r>
    </w:p>
    <w:p>
      <w:pPr>
        <w:pStyle w:val="2"/>
      </w:pPr>
      <w:r>
        <w:t xml:space="preserve">列表16.2.2.1 重大方案偏离 - ITT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治疗组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参与者编号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重大方案违背分类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详细情况描述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a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</w:tbl>
    <w:p>
      <w:pPr>
        <w:pStyle w:val="2"/>
      </w:pPr>
      <w:r>
        <w:t xml:space="preserve">图14.2.1.2 治疗持续时间游泳图 - FAS</w:t>
      </w:r>
    </w:p>
    <w:p>
      <w:pPr>
        <w:pStyle w:val="a"/>
      </w:pPr>
      <w:r>
        <w:rPr/>
        <w:drawing>
          <wp:inline distT="0" distB="0" distL="0" distR="0">
            <wp:extent cx="5486400" cy="41148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"/>
      </w:pPr>
      <w:r>
        <w:t xml:space="preserve">14.4 疗效分析</w:t>
      </w:r>
    </w:p>
    <w:p>
      <w:pPr>
        <w:pStyle w:val="2"/>
      </w:pPr>
      <w:r>
        <w:t xml:space="preserve">图14.4.1 肿瘤最佳变化瀑布图 - FAS</w:t>
      </w:r>
    </w:p>
    <w:p>
      <w:pPr>
        <w:pStyle w:val="a"/>
      </w:pPr>
      <w:r>
        <w:rPr/>
        <w:drawing>
          <wp:inline distT="0" distB="0" distL="0" distR="0">
            <wp:extent cx="5486400" cy="41148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2"/>
      </w:pPr>
      <w:r>
        <w:t xml:space="preserve">图14.4.2 肿瘤负荷变化蜘蛛图 - FAS</w:t>
      </w:r>
    </w:p>
    <w:p>
      <w:pPr>
        <w:pStyle w:val="a"/>
      </w:pPr>
      <w:r>
        <w:rPr/>
        <w:drawing>
          <wp:inline distT="0" distB="0" distL="0" distR="0">
            <wp:extent cx="5486400" cy="41148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2"/>
      </w:pPr>
      <w:r>
        <w:t xml:space="preserve">图14.4.3 肿瘤负荷时间序列图 - FAS</w:t>
      </w:r>
    </w:p>
    <w:p>
      <w:pPr>
        <w:pStyle w:val="a"/>
      </w:pPr>
      <w:r>
        <w:rPr/>
        <w:drawing>
          <wp:inline distT="0" distB="0" distL="0" distR="0">
            <wp:extent cx="5486400" cy="41148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2"/>
      </w:pPr>
      <w:r>
        <w:t xml:space="preserve">图14.4.4 亚组分析森林图 - FAS</w:t>
      </w:r>
    </w:p>
    <w:p>
      <w:pPr>
        <w:pStyle w:val="a"/>
      </w:pPr>
      <w:r>
        <w:rPr/>
        <w:drawing>
          <wp:inline distT="0" distB="0" distL="0" distR="0">
            <wp:extent cx="5486400" cy="4114800"/>
            <wp:docPr id="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2418A" w:rsidSect="00194F6B">
      <w:headerReference w:type="default" r:id="rId7"/>
      <w:footerReference w:type="default" r:id="rId8"/>
      <w:pgSz w:w="16838" w:h="11906" w:orient="landscape"/>
      <w:pgMar w:top="1800" w:right="1440" w:bottom="1800" w:left="1440" w:header="850" w:footer="794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6FFC9" w14:textId="77777777" w:rsidR="006D6328" w:rsidRDefault="006D6328" w:rsidP="00370FC4">
      <w:pPr>
        <w:spacing w:before="480"/>
      </w:pPr>
      <w:r>
        <w:separator/>
      </w:r>
    </w:p>
  </w:endnote>
  <w:endnote w:type="continuationSeparator" w:id="0">
    <w:p w14:paraId="4C031AB8" w14:textId="77777777" w:rsidR="006D6328" w:rsidRDefault="006D6328" w:rsidP="00370FC4">
      <w:pPr>
        <w:spacing w:befor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316434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30D8142" w14:textId="30344B83" w:rsidR="002E6B3F" w:rsidRDefault="002E6B3F">
            <w:pPr>
              <w:pStyle w:val="af0"/>
              <w:spacing w:before="480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0A05787" w14:textId="77777777" w:rsidR="002E6B3F" w:rsidRDefault="002E6B3F">
    <w:pPr>
      <w:pStyle w:val="af0"/>
      <w:spacing w:before="4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08D2E" w14:textId="77777777" w:rsidR="006D6328" w:rsidRDefault="006D6328" w:rsidP="00370FC4">
      <w:pPr>
        <w:spacing w:before="480"/>
      </w:pPr>
      <w:r>
        <w:separator/>
      </w:r>
    </w:p>
  </w:footnote>
  <w:footnote w:type="continuationSeparator" w:id="0">
    <w:p w14:paraId="359C6868" w14:textId="77777777" w:rsidR="006D6328" w:rsidRDefault="006D6328" w:rsidP="00370FC4">
      <w:pPr>
        <w:spacing w:befor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950B4" w14:textId="77777777" w:rsidR="00194F6B" w:rsidRPr="00194F6B" w:rsidRDefault="00194F6B" w:rsidP="00915EB7">
    <w:pPr>
      <w:pStyle w:val="ae"/>
      <w:pBdr>
        <w:bottom w:val="single" w:sz="4" w:space="1" w:color="auto"/>
      </w:pBdr>
      <w:rPr>
        <w:rFonts w:cs="Times New Roman"/>
      </w:rPr>
    </w:pPr>
    <w:r w:rsidRPr="00194F6B">
      <w:rPr>
        <w:rFonts w:cs="Times New Roman" w:hint="eastAsia"/>
      </w:rPr>
      <w:t>宜</w:t>
    </w:r>
    <w:proofErr w:type="gramStart"/>
    <w:r w:rsidRPr="00194F6B">
      <w:rPr>
        <w:rFonts w:cs="Times New Roman" w:hint="eastAsia"/>
      </w:rPr>
      <w:t>明昂科</w:t>
    </w:r>
    <w:proofErr w:type="gramEnd"/>
    <w:r w:rsidRPr="00194F6B">
      <w:rPr>
        <w:rFonts w:cs="Times New Roman" w:hint="eastAsia"/>
      </w:rPr>
      <w:t>生物医药技术（上海）股份有限公司</w:t>
    </w:r>
    <w:r w:rsidRPr="00194F6B">
      <w:ptab w:relativeTo="margin" w:alignment="center" w:leader="none"/>
    </w:r>
    <w:r w:rsidRPr="00194F6B">
      <w:ptab w:relativeTo="margin" w:alignment="right" w:leader="none"/>
    </w:r>
    <w:r w:rsidRPr="00194F6B">
      <w:rPr>
        <w:rFonts w:cs="Times New Roman" w:hint="eastAsia"/>
      </w:rPr>
      <w:t>版本：</w:t>
    </w:r>
    <w:r w:rsidRPr="00194F6B">
      <w:rPr>
        <w:rFonts w:cs="Times New Roman" w:hint="eastAsia"/>
      </w:rPr>
      <w:t>0.1</w:t>
    </w:r>
    <w:r w:rsidRPr="00194F6B">
      <w:rPr>
        <w:rFonts w:cs="Times New Roman"/>
      </w:rPr>
      <w:t xml:space="preserve"> </w:t>
    </w:r>
  </w:p>
  <w:p w14:paraId="0855637D" w14:textId="673E8FC1" w:rsidR="00194F6B" w:rsidRDefault="00194F6B" w:rsidP="00915EB7">
    <w:pPr>
      <w:pStyle w:val="ae"/>
      <w:pBdr>
        <w:bottom w:val="single" w:sz="4" w:space="1" w:color="auto"/>
      </w:pBdr>
    </w:pPr>
    <w:r w:rsidRPr="00194F6B">
      <w:rPr>
        <w:rFonts w:cs="Times New Roman" w:hint="eastAsia"/>
      </w:rPr>
      <w:t>方案编号：</w:t>
    </w:r>
    <w:r w:rsidRPr="00194F6B">
      <w:rPr>
        <w:rFonts w:cs="Times New Roman" w:hint="eastAsia"/>
      </w:rPr>
      <w:t>IMM01-010</w:t>
    </w:r>
    <w:r w:rsidRPr="00194F6B">
      <w:ptab w:relativeTo="margin" w:alignment="center" w:leader="none"/>
    </w:r>
    <w:r w:rsidRPr="00194F6B">
      <w:ptab w:relativeTo="margin" w:alignment="right" w:leader="none"/>
    </w:r>
    <w:r w:rsidRPr="00194F6B">
      <w:rPr>
        <w:rFonts w:cs="Times New Roman" w:hint="eastAsia"/>
      </w:rPr>
      <w:t>日期：</w:t>
    </w:r>
    <w:r w:rsidRPr="00194F6B">
      <w:rPr>
        <w:rFonts w:cs="Times New Roman" w:hint="eastAsia"/>
      </w:rPr>
      <w:t>2026-03-13</w:t>
    </w:r>
  </w:p>
</w:hdr>
</file>

<file path=word/settings.xml><?xml version="1.0" encoding="utf-8"?>
<w:settings xmlns:w="http://schemas.openxmlformats.org/wordprocessingml/2006/main">
  <w:zoom w:percent="99"/>
  <w:defaultTabStop w:val="420"/>
  <w:hyphenationZone w:val="360"/>
  <w:compat>
    <w:compatSetting w:name="compatibilityMode" w:uri="http://schemas.microsoft.com/office/word" w:val="15"/>
  </w:compat>
  <w:decimalSymbol w:val="."/>
  <w:listSeparator w:val=",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5EB7"/>
    <w:pPr>
      <w:widowControl w:val="0"/>
      <w:spacing w:after="0" w:line="240" w:lineRule="auto"/>
    </w:pPr>
    <w:rPr>
      <w:rFonts w:ascii="Times New Roman" w:eastAsia="宋体" w:hAnsi="Times New Roman"/>
      <w:sz w:val="21"/>
    </w:rPr>
  </w:style>
  <w:style w:type="paragraph" w:styleId="1">
    <w:name w:val="heading 1"/>
    <w:basedOn w:val="a"/>
    <w:next w:val="2"/>
    <w:link w:val="10"/>
    <w:uiPriority w:val="9"/>
    <w:qFormat/>
    <w:rsid w:val="00721F24"/>
    <w:pPr>
      <w:keepNext/>
      <w:keepLines/>
      <w:pageBreakBefore/>
      <w:spacing w:after="240"/>
      <w:outlineLvl w:val="0"/>
    </w:pPr>
    <w:rPr>
      <w:rFonts w:cstheme="majorBidi"/>
      <w:b/>
      <w:sz w:val="2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0FC4"/>
    <w:pPr>
      <w:keepNext/>
      <w:keepLines/>
      <w:spacing w:before="160" w:after="80"/>
      <w:outlineLvl w:val="1"/>
    </w:pPr>
    <w:rPr>
      <w:rFonts w:cstheme="majorBidi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53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53F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53F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53F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53F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53F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53F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1F24"/>
    <w:rPr>
      <w:rFonts w:ascii="Times New Roman" w:eastAsia="宋体" w:hAnsi="Times New Roman" w:cstheme="majorBidi"/>
      <w:b/>
      <w:sz w:val="2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0FC4"/>
    <w:rPr>
      <w:rFonts w:ascii="Times New Roman" w:eastAsia="宋体" w:hAnsi="Times New Roman" w:cstheme="majorBidi"/>
      <w:sz w:val="21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5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53F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53F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253F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53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53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53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53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5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53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53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5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53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53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53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5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53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53F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qFormat/>
    <w:rsid w:val="00370FC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qFormat/>
    <w:rsid w:val="00370FC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70FC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70FC4"/>
    <w:rPr>
      <w:sz w:val="18"/>
      <w:szCs w:val="18"/>
    </w:rPr>
  </w:style>
  <w:style w:type="paragraph" w:customStyle="1" w:styleId="af2">
    <w:name w:val="表格"/>
    <w:basedOn w:val="a"/>
    <w:link w:val="af3"/>
    <w:qFormat/>
    <w:rsid w:val="005B394A"/>
  </w:style>
  <w:style w:type="character" w:customStyle="1" w:styleId="af3">
    <w:name w:val="表格 字符"/>
    <w:basedOn w:val="a0"/>
    <w:link w:val="af2"/>
    <w:rsid w:val="005B394A"/>
    <w:rPr>
      <w:rFonts w:ascii="Times New Roman" w:eastAsia="宋体" w:hAnsi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
<Relationships  xmlns="http://schemas.openxmlformats.org/package/2006/relationships">
<Relationship Id="rId8" Type="http://schemas.openxmlformats.org/officeDocument/2006/relationships/footer" Target="footer1.xml"/>
<Relationship Id="rId3" Type="http://schemas.openxmlformats.org/officeDocument/2006/relationships/settings" Target="settings.xml"/>
<Relationship Id="rId7" Type="http://schemas.openxmlformats.org/officeDocument/2006/relationships/header" Target="header1.xml"/>
<Relationship Id="rId2" Type="http://schemas.openxmlformats.org/officeDocument/2006/relationships/styles" Target="styles.xml"/>
<Relationship Id="rId1" Type="http://schemas.openxmlformats.org/officeDocument/2006/relationships/customXml" Target="../customXml/item1.xml"/>
<Relationship Id="rId6" Type="http://schemas.openxmlformats.org/officeDocument/2006/relationships/endnotes" Target="endnotes.xml"/>
<Relationship Id="rId5" Type="http://schemas.openxmlformats.org/officeDocument/2006/relationships/footnotes" Target="footnotes.xml"/>
<Relationship Id="rId10" Type="http://schemas.openxmlformats.org/officeDocument/2006/relationships/theme" Target="theme/theme1.xml"/>
<Relationship Id="rId4" Type="http://schemas.openxmlformats.org/officeDocument/2006/relationships/webSettings" Target="webSettings.xml"/>
<Relationship Id="rId9" Type="http://schemas.openxmlformats.org/officeDocument/2006/relationships/fontTable" Target="fontTable.xml"/>
<Relationship Id="rId11" Type="http://schemas.openxmlformats.org/officeDocument/2006/relationships/image" Target="media/a632b0e70d5a7922ef136b8731058ad377e33af3.png"/>
<Relationship Id="rId12" Type="http://schemas.openxmlformats.org/officeDocument/2006/relationships/image" Target="media/e0ec85fe4eba1bc03bf1f6b455635257ad6cdfcf.png"/>
<Relationship Id="rId13" Type="http://schemas.openxmlformats.org/officeDocument/2006/relationships/image" Target="media/b6558d885b36dc74a14a394c1d5908a56d72f373.png"/>
<Relationship Id="rId14" Type="http://schemas.openxmlformats.org/officeDocument/2006/relationships/image" Target="media/a06123ae542c78bb0270514f9fd8907e97d3dc12.png"/>
<Relationship Id="rId15" Type="http://schemas.openxmlformats.org/officeDocument/2006/relationships/image" Target="media/1ff1133de02e55d016465ab9b61e60e8c10fba2d.png"/>
<Relationship Id="rId16" Type="http://schemas.openxmlformats.org/officeDocument/2006/relationships/image" Target="media/f4df9d87e347b45459214e335b2c631998c595ba.png"/>
</Relationships>
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A1AED4-BC8B-4182-A34C-8520447DD2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郭 群</dc:creator>
  <cp:keywords/>
  <dc:description/>
  <cp:lastModifiedBy/>
  <cp:revision>10</cp:revision>
  <dcterms:created xsi:type="dcterms:W3CDTF">2026-04-01T05:48:00Z</dcterms:created>
  <dcterms:modified xsi:type="dcterms:W3CDTF">2026-05-15T10:08:23Z</dcterms:modified>
</cp:coreProperties>
</file>