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卢恩项目周工作汇报</w:t>
      </w:r>
    </w:p>
    <w:p>
      <w:pPr>
        <w:jc w:val="center"/>
      </w:pPr>
      <w:r>
        <w:rPr>
          <w:rFonts w:ascii="宋体" w:hAnsi="宋体" w:eastAsia="宋体"/>
          <w:sz w:val="22"/>
        </w:rPr>
        <w:t>2026年5月13日</w:t>
      </w:r>
    </w:p>
    <w:p>
      <w:r>
        <w:rPr>
          <w:rFonts w:ascii="宋体" w:hAnsi="宋体" w:eastAsia="宋体"/>
          <w:b/>
          <w:sz w:val="24"/>
        </w:rPr>
        <w:t>各部门年月及周目标</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rFonts w:ascii="宋体" w:hAnsi="宋体" w:eastAsia="宋体"/>
                <w:b/>
                <w:sz w:val="22"/>
              </w:rPr>
              <w:t>设计部</w:t>
            </w:r>
          </w:p>
        </w:tc>
        <w:tc>
          <w:tcPr>
            <w:tcW w:type="dxa" w:w="5100"/>
            <w:vAlign w:val="center"/>
            <w:shd w:fill="D9EAF7"/>
          </w:tcPr>
          <w:p>
            <w:r/>
            <w:r>
              <w:rPr>
                <w:rFonts w:ascii="宋体" w:hAnsi="宋体" w:eastAsia="宋体"/>
                <w:b w:val="0"/>
                <w:sz w:val="22"/>
              </w:rPr>
              <w:t>收集人：郑波</w:t>
            </w:r>
          </w:p>
        </w:tc>
      </w:tr>
    </w:tbl>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W w:w="680" w:type="dxa"/>
          </w:tcPr>
          <w:p>
            <w:pPr>
              <w:spacing w:after="0" w:line="276" w:lineRule="auto"/>
            </w:pPr>
            <w:r/>
            <w:r>
              <w:rPr>
                <w:rFonts w:ascii="宋体" w:hAnsi="宋体" w:eastAsia="宋体"/>
                <w:b/>
                <w:sz w:val="21"/>
              </w:rPr>
              <w:t>序号</w:t>
            </w:r>
          </w:p>
        </w:tc>
        <w:tc>
          <w:tcPr>
            <w:tcW w:type="dxa" w:w="2550"/>
            <w:vAlign w:val="center"/>
            <w:shd w:fill="D9EAF7"/>
            <w:tcW w:w="1360" w:type="dxa"/>
          </w:tcPr>
          <w:p>
            <w:pPr>
              <w:spacing w:after="0" w:line="276" w:lineRule="auto"/>
            </w:pPr>
            <w:r/>
            <w:r>
              <w:rPr>
                <w:rFonts w:ascii="宋体" w:hAnsi="宋体" w:eastAsia="宋体"/>
                <w:b/>
                <w:sz w:val="21"/>
              </w:rPr>
              <w:t>收集项</w:t>
            </w:r>
          </w:p>
        </w:tc>
        <w:tc>
          <w:tcPr>
            <w:tcW w:type="dxa" w:w="2550"/>
            <w:vAlign w:val="center"/>
            <w:shd w:fill="D9EAF7"/>
            <w:tcW w:w="2835" w:type="dxa"/>
          </w:tcPr>
          <w:p>
            <w:pPr>
              <w:spacing w:after="0" w:line="276" w:lineRule="auto"/>
            </w:pPr>
            <w:r/>
            <w:r>
              <w:rPr>
                <w:rFonts w:ascii="宋体" w:hAnsi="宋体" w:eastAsia="宋体"/>
                <w:b/>
                <w:sz w:val="21"/>
              </w:rPr>
              <w:t>具体内容</w:t>
            </w:r>
          </w:p>
        </w:tc>
        <w:tc>
          <w:tcPr>
            <w:tcW w:type="dxa" w:w="2550"/>
            <w:vAlign w:val="center"/>
            <w:shd w:fill="D9EAF7"/>
            <w:tcW w:w="9072" w:type="dxa"/>
          </w:tcPr>
          <w:p>
            <w:pPr>
              <w:spacing w:after="0" w:line="276" w:lineRule="auto"/>
            </w:pPr>
            <w:r/>
            <w:r>
              <w:rPr>
                <w:rFonts w:ascii="宋体" w:hAnsi="宋体" w:eastAsia="宋体"/>
                <w:b/>
                <w:sz w:val="21"/>
              </w:rPr>
              <w:t>完成情况或者计划</w:t>
            </w:r>
          </w:p>
        </w:tc>
      </w:tr>
      <w:tr>
        <w:tc>
          <w:tcPr>
            <w:tcW w:type="dxa" w:w="2550"/>
            <w:vAlign w:val="center"/>
            <w:tcW w:w="680" w:type="dxa"/>
          </w:tcPr>
          <w:p>
            <w:pPr>
              <w:spacing w:after="0" w:line="276" w:lineRule="auto"/>
            </w:pPr>
            <w:r/>
            <w:r>
              <w:rPr>
                <w:rFonts w:ascii="宋体" w:hAnsi="宋体" w:eastAsia="宋体"/>
                <w:b w:val="0"/>
                <w:sz w:val="21"/>
              </w:rPr>
              <w:t>一</w:t>
            </w:r>
          </w:p>
        </w:tc>
        <w:tc>
          <w:tcPr>
            <w:tcW w:type="dxa" w:w="2550"/>
            <w:vAlign w:val="center"/>
            <w:tcW w:w="1360" w:type="dxa"/>
          </w:tcPr>
          <w:p>
            <w:pPr>
              <w:spacing w:after="0" w:line="276" w:lineRule="auto"/>
            </w:pPr>
            <w:r/>
            <w:r>
              <w:rPr>
                <w:rFonts w:ascii="宋体" w:hAnsi="宋体" w:eastAsia="宋体"/>
                <w:b w:val="0"/>
                <w:sz w:val="21"/>
              </w:rPr>
              <w:t>设计生产</w:t>
            </w:r>
          </w:p>
        </w:tc>
        <w:tc>
          <w:tcPr>
            <w:tcW w:type="dxa" w:w="2550"/>
            <w:vAlign w:val="center"/>
            <w:tcW w:w="2835" w:type="dxa"/>
          </w:tcPr>
          <w:p>
            <w:pPr>
              <w:spacing w:after="0" w:line="276" w:lineRule="auto"/>
            </w:pPr>
            <w:r/>
            <w:r>
              <w:rPr>
                <w:rFonts w:ascii="宋体" w:hAnsi="宋体" w:eastAsia="宋体"/>
                <w:b w:val="0"/>
                <w:sz w:val="21"/>
              </w:rPr>
              <w:t>完成最后段落设计及各标段施工图、变更方案、现场核查和技术配合工作，保障施工部现场作业面。</w:t>
            </w:r>
          </w:p>
        </w:tc>
        <w:tc>
          <w:tcPr>
            <w:tcW w:type="dxa" w:w="2550"/>
            <w:vAlign w:val="center"/>
            <w:tcW w:w="9072" w:type="dxa"/>
          </w:tcPr>
          <w:p>
            <w:pPr>
              <w:spacing w:after="0" w:line="276" w:lineRule="auto"/>
            </w:pPr>
            <w:r/>
            <w:r>
              <w:rPr>
                <w:rFonts w:ascii="宋体" w:hAnsi="宋体" w:eastAsia="宋体"/>
                <w:b w:val="0"/>
                <w:sz w:val="21"/>
              </w:rPr>
              <w:t>1. 第三段：根据最新试验数据结果，完成新建幅NB CH68+820～CH69+120段软基换填处治变更方案调整；联合IE及RDA完成CH117转盘主体验收工作；根据NB CH153+000～CH153+740及NB CH154+120～CH154+260段不良土承载力检测结果，开挖2处探坑，进一步查明地下水及下承层土质条件，并结合现场实际优化变更说明、重新统计相关变更工程量；配合管理部及IE就Kabwe Council提出在NB CH114处增设U-turn设施事宜开展现场沟通。</w:t>
            </w:r>
            <w:r>
              <w:br/>
            </w:r>
            <w:r>
              <w:rPr>
                <w:rFonts w:ascii="宋体" w:hAnsi="宋体" w:eastAsia="宋体"/>
                <w:b w:val="0"/>
                <w:sz w:val="21"/>
              </w:rPr>
              <w:t>2. 第四段：根据最新试验结果，完成CH41+310～CH41+960段软基换填处治变更方案调整；完成三标一工区既有幅NB CH209+120～CH209+400、NB CH202+720～CH203+440老路拼宽病害处治变更，完成既有幅CH199+340～CH199+800段粉土质砂处治变更文件编制；根据最新方案完善三标二工区既有幅SB CH289+910～CH289+980软基换填处治变更修改；联合管理部组织召开该段软基换填处治变更讨论会，并根据会议意见完成变更文件修改。</w:t>
            </w:r>
            <w:r>
              <w:br/>
            </w:r>
            <w:r>
              <w:rPr>
                <w:rFonts w:ascii="宋体" w:hAnsi="宋体" w:eastAsia="宋体"/>
                <w:b w:val="0"/>
                <w:sz w:val="21"/>
              </w:rPr>
              <w:t>3. 第五段：配合管理部对Kabwe城区CH128+210处水管套管开挖施工后市政管道渗漏情况进行现场踏勘。</w:t>
            </w:r>
            <w:r>
              <w:br/>
            </w:r>
            <w:r>
              <w:rPr>
                <w:rFonts w:ascii="宋体" w:hAnsi="宋体" w:eastAsia="宋体"/>
                <w:b w:val="0"/>
                <w:sz w:val="21"/>
              </w:rPr>
              <w:t>4. 第二、三、四、五段：根据二标已召开的变更讨论会，完成相应会议资料及变更图纸整理；对三标二工区部分新增线外涵位置进行优化，完成全线需新增线外涵数量汇总。</w:t>
            </w:r>
            <w:r>
              <w:br/>
            </w:r>
            <w:r>
              <w:rPr>
                <w:rFonts w:ascii="宋体" w:hAnsi="宋体" w:eastAsia="宋体"/>
                <w:b w:val="0"/>
                <w:sz w:val="21"/>
              </w:rPr>
              <w:t>5. 第二段：编制三标一工区NB CH167+110.7线外涵基底换填及长度调整变更方案并报管理部审核。</w:t>
            </w:r>
            <w:r>
              <w:br/>
            </w:r>
            <w:r>
              <w:rPr>
                <w:rFonts w:ascii="宋体" w:hAnsi="宋体" w:eastAsia="宋体"/>
                <w:b w:val="0"/>
                <w:sz w:val="21"/>
              </w:rPr>
              <w:t>6. 全线：根据管理部要求，重新调查梳理全线入户口/入户开口，开展入户口工程量优化调整及入户开口工程量优化设计；完成桥梁车行道与人行道之间增设护栏初步方案编制，待审核完善后回复ILISO。</w:t>
            </w:r>
            <w:r>
              <w:br/>
            </w:r>
            <w:r>
              <w:rPr>
                <w:rFonts w:ascii="宋体" w:hAnsi="宋体" w:eastAsia="宋体"/>
                <w:b w:val="0"/>
                <w:sz w:val="21"/>
              </w:rPr>
              <w:t>7. 其他：对接运营部在卡布韦收费站试运营期间反馈问题及新增变更1处；完成Mayumbi收费站结构及电气专业返资图。</w:t>
            </w:r>
          </w:p>
        </w:tc>
      </w:tr>
      <w:tr>
        <w:tc>
          <w:tcPr>
            <w:tcW w:type="dxa" w:w="2550"/>
            <w:vAlign w:val="center"/>
            <w:tcW w:w="680" w:type="dxa"/>
          </w:tcPr>
          <w:p>
            <w:pPr>
              <w:spacing w:after="0" w:line="276" w:lineRule="auto"/>
            </w:pPr>
            <w:r/>
            <w:r>
              <w:rPr>
                <w:rFonts w:ascii="宋体" w:hAnsi="宋体" w:eastAsia="宋体"/>
                <w:b w:val="0"/>
                <w:sz w:val="21"/>
              </w:rPr>
              <w:t>二</w:t>
            </w:r>
          </w:p>
        </w:tc>
        <w:tc>
          <w:tcPr>
            <w:tcW w:type="dxa" w:w="2550"/>
            <w:vAlign w:val="center"/>
            <w:tcW w:w="1360" w:type="dxa"/>
          </w:tcPr>
          <w:p>
            <w:pPr>
              <w:spacing w:after="0" w:line="276" w:lineRule="auto"/>
            </w:pPr>
            <w:r/>
            <w:r>
              <w:rPr>
                <w:rFonts w:ascii="宋体" w:hAnsi="宋体" w:eastAsia="宋体"/>
                <w:b w:val="0"/>
                <w:sz w:val="21"/>
              </w:rPr>
              <w:t>下周工作计划</w:t>
            </w:r>
          </w:p>
        </w:tc>
        <w:tc>
          <w:tcPr>
            <w:tcW w:type="dxa" w:w="2550"/>
            <w:vAlign w:val="center"/>
            <w:tcW w:w="2835" w:type="dxa"/>
          </w:tcPr>
          <w:p>
            <w:pPr>
              <w:spacing w:after="0" w:line="276" w:lineRule="auto"/>
            </w:pPr>
            <w:r/>
            <w:r>
              <w:rPr>
                <w:rFonts w:ascii="宋体" w:hAnsi="宋体" w:eastAsia="宋体"/>
                <w:b w:val="0"/>
                <w:sz w:val="21"/>
              </w:rPr>
              <w:t>围绕变更讨论、方案完善、现场核查、收费站施工图及跨部门协调事项，持续推进设计服务和技术支持。</w:t>
            </w:r>
          </w:p>
        </w:tc>
        <w:tc>
          <w:tcPr>
            <w:tcW w:type="dxa" w:w="2550"/>
            <w:vAlign w:val="center"/>
            <w:tcW w:w="9072" w:type="dxa"/>
          </w:tcPr>
          <w:p>
            <w:pPr>
              <w:spacing w:after="0" w:line="276" w:lineRule="auto"/>
            </w:pPr>
            <w:r/>
            <w:r>
              <w:rPr>
                <w:rFonts w:ascii="宋体" w:hAnsi="宋体" w:eastAsia="宋体"/>
                <w:b w:val="0"/>
                <w:sz w:val="21"/>
              </w:rPr>
              <w:t>1. 第三段：计划联合管理部召开NB CH153+000～CH153+740段不良土换填变更讨论会。</w:t>
            </w:r>
            <w:r>
              <w:br/>
            </w:r>
            <w:r>
              <w:rPr>
                <w:rFonts w:ascii="宋体" w:hAnsi="宋体" w:eastAsia="宋体"/>
                <w:b w:val="0"/>
                <w:sz w:val="21"/>
              </w:rPr>
              <w:t>2. 第四、五段：计划与管理部召开已完成变更的变更会，并完善变更程序。</w:t>
            </w:r>
            <w:r>
              <w:br/>
            </w:r>
            <w:r>
              <w:rPr>
                <w:rFonts w:ascii="宋体" w:hAnsi="宋体" w:eastAsia="宋体"/>
                <w:b w:val="0"/>
                <w:sz w:val="21"/>
              </w:rPr>
              <w:t>3. 第五段：计划完善二标CH133～CH155老路利用段落纵断面顺接方案及说明文件，并提交管理部审核；编制CH243、CH252、CH256三处箱涵因地下水位高需增加块、碎石换填的变更方案并报管理部审核。</w:t>
            </w:r>
            <w:r>
              <w:br/>
            </w:r>
            <w:r>
              <w:rPr>
                <w:rFonts w:ascii="宋体" w:hAnsi="宋体" w:eastAsia="宋体"/>
                <w:b w:val="0"/>
                <w:sz w:val="21"/>
              </w:rPr>
              <w:t>4. 第二、三、四、五段：计划对三标二工区线外涵长度及部分线外涵设置必要性进行现场核查。</w:t>
            </w:r>
            <w:r>
              <w:br/>
            </w:r>
            <w:r>
              <w:rPr>
                <w:rFonts w:ascii="宋体" w:hAnsi="宋体" w:eastAsia="宋体"/>
                <w:b w:val="0"/>
                <w:sz w:val="21"/>
              </w:rPr>
              <w:t>5. 全线：继续根据管理部要求，调查梳理全线入户口/入户开口，推进工程量优化调整及优化设计。</w:t>
            </w:r>
            <w:r>
              <w:br/>
            </w:r>
            <w:r>
              <w:rPr>
                <w:rFonts w:ascii="宋体" w:hAnsi="宋体" w:eastAsia="宋体"/>
                <w:b w:val="0"/>
                <w:sz w:val="21"/>
              </w:rPr>
              <w:t>6. 五标及收费站：计划与ZESCO组织现场会议，确定其方案工作范围和可实施性；根据各专业返资图编制Mayumbi收费站施工图；完成卡布韦收费站新增变更文件及变更量单，汇总整理卡布韦收费站变更会议汇报文件，协同管理部及施工部开展变更会议。</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