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64" w:lineRule="auto"/>
        <w:jc w:val="center"/>
      </w:pPr>
      <w:r>
        <w:rPr>
          <w:rFonts w:ascii="宋体" w:hAnsi="宋体" w:eastAsia="宋体"/>
          <w:b/>
          <w:sz w:val="36"/>
        </w:rPr>
        <w:t>卢恩项目周工作汇报</w:t>
      </w:r>
    </w:p>
    <w:p>
      <w:pPr>
        <w:spacing w:after="0" w:line="264" w:lineRule="auto"/>
        <w:jc w:val="center"/>
      </w:pPr>
      <w:r>
        <w:rPr>
          <w:rFonts w:ascii="宋体" w:hAnsi="宋体" w:eastAsia="宋体"/>
          <w:b w:val="0"/>
          <w:sz w:val="22"/>
        </w:rPr>
        <w:t>2026年5月13日</w:t>
      </w:r>
    </w:p>
    <w:p>
      <w:pPr>
        <w:spacing w:after="0" w:line="264" w:lineRule="auto"/>
      </w:pPr>
      <w:r>
        <w:rPr>
          <w:rFonts w:ascii="宋体" w:hAnsi="宋体" w:eastAsia="宋体"/>
          <w:b/>
          <w:sz w:val="24"/>
        </w:rPr>
        <w:t>卢恩项目总目标一览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vAlign w:val="center"/>
            <w:shd w:fill="D9EAF7"/>
            <w:tcW w:w="2268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目标类别</w:t>
            </w:r>
          </w:p>
        </w:tc>
        <w:tc>
          <w:tcPr>
            <w:tcW w:type="dxa" w:w="7070"/>
            <w:vAlign w:val="center"/>
            <w:shd w:fill="D9EAF7"/>
            <w:tcW w:w="12474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标准目标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投资目标</w:t>
            </w:r>
          </w:p>
        </w:tc>
        <w:tc>
          <w:tcPr>
            <w:tcW w:type="dxa" w:w="70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不超过施工合同签约价扣减不可预见费后总额的相关控制目标。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质量目标</w:t>
            </w:r>
          </w:p>
        </w:tc>
        <w:tc>
          <w:tcPr>
            <w:tcW w:type="dxa" w:w="70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工程质量达到设计和规范要求；分部分项工程项目质量检验合格率100%；完工项目对外交验通过率100%；杜绝重大工程质量事故。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安全目标</w:t>
            </w:r>
          </w:p>
        </w:tc>
        <w:tc>
          <w:tcPr>
            <w:tcW w:type="dxa" w:w="70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无死亡事故；无重大机械事故；杜绝一般及以上安全事故。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进度目标</w:t>
            </w:r>
          </w:p>
        </w:tc>
        <w:tc>
          <w:tcPr>
            <w:tcW w:type="dxa" w:w="70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按照各里程段落PCOD、COD计划时间推进设计服务和技术配合工作。</w:t>
            </w:r>
          </w:p>
        </w:tc>
      </w:tr>
    </w:tbl>
    <w:p>
      <w:pPr>
        <w:spacing w:after="0" w:line="264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line="264" w:lineRule="auto"/>
      </w:pPr>
      <w:r>
        <w:rPr>
          <w:rFonts w:ascii="宋体" w:hAnsi="宋体" w:eastAsia="宋体"/>
          <w:b/>
          <w:sz w:val="24"/>
        </w:rPr>
        <w:t>各部门年月及周目标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vAlign w:val="center"/>
            <w:shd w:fill="D9EAF7"/>
            <w:tcW w:w="7371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设计部</w:t>
            </w:r>
          </w:p>
        </w:tc>
        <w:tc>
          <w:tcPr>
            <w:tcW w:type="dxa" w:w="7070"/>
            <w:vAlign w:val="center"/>
            <w:shd w:fill="D9EAF7"/>
            <w:tcW w:w="7371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收集人：郑波</w:t>
            </w:r>
          </w:p>
        </w:tc>
      </w:tr>
    </w:tbl>
    <w:p>
      <w:pPr>
        <w:spacing w:after="0" w:line="264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line="264" w:lineRule="auto"/>
      </w:pPr>
      <w:r>
        <w:rPr>
          <w:rFonts w:ascii="宋体" w:hAnsi="宋体" w:eastAsia="宋体"/>
          <w:b/>
          <w:sz w:val="24"/>
        </w:rPr>
        <w:t>一、项目总目标★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  <w:tcW w:w="680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535"/>
            <w:vAlign w:val="center"/>
            <w:shd w:fill="D9EAF7"/>
            <w:tcW w:w="1701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收集项</w:t>
            </w:r>
          </w:p>
        </w:tc>
        <w:tc>
          <w:tcPr>
            <w:tcW w:type="dxa" w:w="3535"/>
            <w:vAlign w:val="center"/>
            <w:shd w:fill="D9EAF7"/>
            <w:tcW w:w="4536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具体内容</w:t>
            </w:r>
          </w:p>
        </w:tc>
        <w:tc>
          <w:tcPr>
            <w:tcW w:type="dxa" w:w="3535"/>
            <w:vAlign w:val="center"/>
            <w:shd w:fill="D9EAF7"/>
            <w:tcW w:w="7824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完成情况或者计划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设计生产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● 完成最后段落的设计，并提交外方审查；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一标（0-70）：2025年2月28日；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二标（70-155）：2025年4月7日；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三标-1（155-240）：2025年3月8日；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三标-2（240-306.472）：2025年2月28日；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四标：已于2024年4月11日完成最终批复。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设计部同步开展各标段设计工作，以保证施工部有充足作业面进行自行或者分包商的现场施工。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截止目前，以两车道里程计，设计完成里程662.054km，占总里程662.054km的100%。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设计批复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● 2025年6月27日完成全线报告及施工图的批复。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截止目前，以两车道里程计，设计批复里程662.054km，占总里程662.054km的100%。</w:t>
            </w:r>
          </w:p>
        </w:tc>
      </w:tr>
    </w:tbl>
    <w:p>
      <w:pPr>
        <w:spacing w:after="0" w:line="264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line="264" w:lineRule="auto"/>
      </w:pPr>
      <w:r>
        <w:rPr>
          <w:rFonts w:ascii="宋体" w:hAnsi="宋体" w:eastAsia="宋体"/>
          <w:b/>
          <w:sz w:val="24"/>
        </w:rPr>
        <w:t>二、本周工作目标完成情况（2026年5月份月度第2周）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  <w:tcW w:w="680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535"/>
            <w:vAlign w:val="center"/>
            <w:shd w:fill="D9EAF7"/>
            <w:tcW w:w="1701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收集项</w:t>
            </w:r>
          </w:p>
        </w:tc>
        <w:tc>
          <w:tcPr>
            <w:tcW w:type="dxa" w:w="3535"/>
            <w:vAlign w:val="center"/>
            <w:shd w:fill="D9EAF7"/>
            <w:tcW w:w="2948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具体内容</w:t>
            </w:r>
          </w:p>
        </w:tc>
        <w:tc>
          <w:tcPr>
            <w:tcW w:type="dxa" w:w="3535"/>
            <w:vAlign w:val="center"/>
            <w:shd w:fill="D9EAF7"/>
            <w:tcW w:w="9412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完成情况或者计划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管理部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1.设计变更方案；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2.现场技术服务；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1.设计变更方案；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1.一标：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1）第3段：根据最新试验数据结果，完成新建幅NB CH68+820～CH69+120段软基换填处治变更方案调整；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2）第4段：根据最新试验结果，完成CH41+310～CH41+960段软基换填处治变更方案调整。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2.二标：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1）第2、3、5段：根据二标已召开的变更讨论会，完成相应会议资料及变更图纸的整理工作。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3.三标一工区：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1）第4段：完成既有幅NB CH209+120～CH209+400、NB CH202+720～CH203+440老路拼宽病害处治变更，待发管理部审查；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2）第4段：完成既有幅CH199+340～CH199+800段粉土质砂处治变更文件编制，待发管理部审查。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4.三标二工区：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1）第4段：根据最新方案，完善三标二工区既有幅SB CH289+910～CH289+980软基换填处治的变更修改。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5.四标：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7.结构组：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1）一标：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2）二标：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3）三标一工区：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①第2段：编制NB CH167+110.7线外涵基底换填及长度调整的变更方案并报管理部审核；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②完成桥梁车行道与人行道之间增设护栏初步方案的编制，待审核完善后回复ILISO。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4）三标二工区：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①第2、3、4、5段：对部分新增线外涵位置进行优化，完成全线需新增线外涵的数量汇总。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5）五标：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全线：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①根据管理部要求，重新调查梳理全线入户口/入户开口，进行入户口工程量优化调整及入户开口工程量优化设计。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2.现场技术服务；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1.2.5km临时养护工程（卢恩公路全线试验段）：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2.一标：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3.二标：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1）第3段：根据NB CH153+000～CH153+740及NB CH154+120～CH154+260段不良土承载力检测结果，开挖2处探坑，进一步查明地下水情况及下承层土质条件，并结合最新现场实际情况优化完善变更说明、重新统计相关变更工程量；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2）第5段：配合管理部针对Kabwe城区CH128+210处水管套管开挖施工后出现的市政管道渗漏情况进行现场踏勘；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3）第3段：配合管理部及IE，就Kabwe Council提出在NB CH114处增设U-turn设施事宜进行现场沟通。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4.三标一工区：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5.三标二工区：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6.四标卢安夏支线：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8.结构：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RDA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1.信函来往；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2.报告及图纸批复；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2.第3段：配合管理部，联合IE及RDA完成对CH117转盘的主体验收工作。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对接铁路局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1.新增铁路平交口开口；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对接IE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1.报告、图纸及现场方案；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生产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1.地勘；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2.施工图及报告；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3.Luanshya收费站；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4.卢恩主线与卢安夏支线地磅站；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5.Kabwe收费站；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6.主线服务区、小市场、水箱；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7.Manyumbi收费站；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8.养护中心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5.对接运营部在卡布韦收费站试运营期间的反馈问题，及新增变更一处。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7.完成Mayumbi收费站结构及电气专业返资图。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8.无。</w:t>
            </w:r>
          </w:p>
        </w:tc>
      </w:tr>
    </w:tbl>
    <w:p>
      <w:pPr>
        <w:spacing w:after="0" w:line="264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line="264" w:lineRule="auto"/>
      </w:pPr>
      <w:r>
        <w:rPr>
          <w:rFonts w:ascii="宋体" w:hAnsi="宋体" w:eastAsia="宋体"/>
          <w:b/>
          <w:sz w:val="24"/>
        </w:rPr>
        <w:t>三、复盘总结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shd w:fill="D9EAF7"/>
            <w:tcW w:w="680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4713"/>
            <w:vAlign w:val="center"/>
            <w:shd w:fill="D9EAF7"/>
            <w:tcW w:w="2835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收集项</w:t>
            </w:r>
          </w:p>
        </w:tc>
        <w:tc>
          <w:tcPr>
            <w:tcW w:type="dxa" w:w="4713"/>
            <w:vAlign w:val="center"/>
            <w:shd w:fill="D9EAF7"/>
            <w:tcW w:w="11226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完成情况或者计划</w:t>
            </w:r>
          </w:p>
        </w:tc>
      </w:tr>
      <w:tr>
        <w:tc>
          <w:tcPr>
            <w:tcW w:type="dxa" w:w="4713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713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工作不足</w:t>
            </w:r>
          </w:p>
        </w:tc>
        <w:tc>
          <w:tcPr>
            <w:tcW w:type="dxa" w:w="47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713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713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工作亮点</w:t>
            </w:r>
          </w:p>
        </w:tc>
        <w:tc>
          <w:tcPr>
            <w:tcW w:type="dxa" w:w="47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pPr>
        <w:spacing w:after="0" w:line="264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line="264" w:lineRule="auto"/>
      </w:pPr>
      <w:r>
        <w:rPr>
          <w:rFonts w:ascii="宋体" w:hAnsi="宋体" w:eastAsia="宋体"/>
          <w:b/>
          <w:sz w:val="24"/>
        </w:rPr>
        <w:t>四、下周工作计划（2026年5月份月度第3周）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  <w:tcW w:w="680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535"/>
            <w:vAlign w:val="center"/>
            <w:shd w:fill="D9EAF7"/>
            <w:tcW w:w="1701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收集项</w:t>
            </w:r>
          </w:p>
        </w:tc>
        <w:tc>
          <w:tcPr>
            <w:tcW w:type="dxa" w:w="3535"/>
            <w:vAlign w:val="center"/>
            <w:shd w:fill="D9EAF7"/>
            <w:tcW w:w="2948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具体内容</w:t>
            </w:r>
          </w:p>
        </w:tc>
        <w:tc>
          <w:tcPr>
            <w:tcW w:type="dxa" w:w="3535"/>
            <w:vAlign w:val="center"/>
            <w:shd w:fill="D9EAF7"/>
            <w:tcW w:w="9412" w:type="dx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完成情况或者计划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管理部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1.设计变更方案；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2.现场技术服务；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1.设计变更方案；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1.一标：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1）全线：根据管理部要求，继续调查梳理全线入户口，进行入户口工程量优化调整。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2.二标：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1）第3段：联合管理部召开NB CH153+000～CH153+740段不良土换填变更讨论会；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2）第5段：完善二标CH133～CH155老路利用段落纵断面顺接方案及说明文件，并提交管理部审核。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3.三标一工区：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1）第4、5段：与管理部召开已完成变更的变更会，并完善变更程序；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2）全线：根据管理部要求，继续调查梳理全线入户开口，进行入户开口工程量优化设计。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4.三标二工区：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1）第4段：联合管理部组织召开三标二工区既有幅SB CH289+910～CH289+980软基换填处治变更讨论会，并根据会议完成变更文件修改；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2）全线：根据管理部要求，继续调查梳理全线入户开口，进行入户开口工程量优化设计。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5.四标：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7.结构组：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1）一标：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2）二标：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3）三标一工区：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4）三标二工区：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①第5段：编制CH243、CH252、CH256三处箱涵因地下水位高需增加块、碎石换填的变更方案并报管理部审核。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5）五标：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全线：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2.现场技术服务；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1.2.5km临时养护工程（卢恩公路全线试验段）：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2.一标：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3.二标：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4.三标一工区：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5.三标二工区：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1）第2、3、4、5段：对线外涵的长度和部分线外涵设置的必要性进行现场核查。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6.四标卢安夏支线：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1）与ZESCO组织现场会议，确定其方案的工作范围和可实施性。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8.结构：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1）无。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2）五标：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①无。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RDA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1.信函来往；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2.报告及图纸批复；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对接铁路局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1.新增铁路平交口开口；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对接IE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1.报告、图纸及现场方案；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生产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1.地勘；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2.施工图及报告；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3.Luanshya收费站；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4.卢恩主线与卢安夏支线地磅站；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5.Kabwe收费站；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6.主线服务区、小市场、水箱；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7.Manyumbi收费站；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8.养护中心</w:t>
            </w:r>
          </w:p>
        </w:tc>
        <w:tc>
          <w:tcPr>
            <w:tcW w:type="dxa" w:w="3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5.完成卡布韦收费站新增变更文件及变更量单；汇总卡布韦收费站变更文件，整理变更会议汇报文件，协同管理部及施工部开展卡布韦收费站变更会议。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6.无。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7.根据各专业返资图编制Mayumbi收费站施工图。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8.无。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