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M01</w:t>
      </w:r>
    </w:p>
    <w:p>
      <w:pPr>
        <w:pStyle w:val="Title"/>
      </w:pPr>
      <w:r>
        <w:t>Tenant Context and Data Access</w:t>
      </w:r>
    </w:p>
    <w:p>
      <w:pPr>
        <w:pStyle w:val="Subtitle"/>
      </w:pPr>
      <w:r>
        <w:t>Detailed Requirements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r>
              <w:rPr>
                <w:b/>
                <w:color w:val="16324F"/>
                <w:sz w:val="18"/>
              </w:rPr>
              <w:t>Document control</w:t>
            </w:r>
          </w:p>
        </w:tc>
        <w:tc>
          <w:tcPr>
            <w:tcW w:type="dxa" w:w="7160"/>
            <w:shd w:fill="E8EEF5"/>
            <w:tcMar>
              <w:top w:w="80" w:type="dxa"/>
              <w:start w:w="120" w:type="dxa"/>
              <w:bottom w:w="80" w:type="dxa"/>
              <w:end w:w="120" w:type="dxa"/>
            </w:tcMar>
            <w:vAlign w:val="center"/>
          </w:tcPr>
          <w:p>
            <w:r>
              <w:rPr>
                <w:b/>
                <w:color w:val="16324F"/>
                <w:sz w:val="18"/>
              </w:rPr>
              <w:t>Value</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Product</w:t>
            </w:r>
          </w:p>
        </w:tc>
        <w:tc>
          <w:tcPr>
            <w:tcW w:type="dxa" w:w="7160"/>
            <w:tcMar>
              <w:top w:w="80" w:type="dxa"/>
              <w:start w:w="120" w:type="dxa"/>
              <w:bottom w:w="80" w:type="dxa"/>
              <w:end w:w="120" w:type="dxa"/>
            </w:tcMar>
            <w:vAlign w:val="center"/>
          </w:tcPr>
          <w:p>
            <w:pPr>
              <w:spacing w:after="40" w:line="252" w:lineRule="auto"/>
            </w:pPr>
            <w:r>
              <w:rPr>
                <w:color w:val="243746"/>
                <w:sz w:val="18"/>
              </w:rPr>
              <w:t>HaloFlow Medical Solution</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Status</w:t>
            </w:r>
          </w:p>
        </w:tc>
        <w:tc>
          <w:tcPr>
            <w:tcW w:type="dxa" w:w="7160"/>
            <w:tcMar>
              <w:top w:w="80" w:type="dxa"/>
              <w:start w:w="120" w:type="dxa"/>
              <w:bottom w:w="80" w:type="dxa"/>
              <w:end w:w="120" w:type="dxa"/>
            </w:tcMar>
            <w:vAlign w:val="center"/>
          </w:tcPr>
          <w:p>
            <w:pPr>
              <w:spacing w:after="40" w:line="252" w:lineRule="auto"/>
            </w:pPr>
            <w:r>
              <w:rPr>
                <w:color w:val="243746"/>
                <w:sz w:val="18"/>
              </w:rPr>
              <w:t>Approved</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Version</w:t>
            </w:r>
          </w:p>
        </w:tc>
        <w:tc>
          <w:tcPr>
            <w:tcW w:type="dxa" w:w="7160"/>
            <w:tcMar>
              <w:top w:w="80" w:type="dxa"/>
              <w:start w:w="120" w:type="dxa"/>
              <w:bottom w:w="80" w:type="dxa"/>
              <w:end w:w="120" w:type="dxa"/>
            </w:tcMar>
            <w:vAlign w:val="center"/>
          </w:tcPr>
          <w:p>
            <w:pPr>
              <w:spacing w:after="40" w:line="252" w:lineRule="auto"/>
            </w:pPr>
            <w:r>
              <w:rPr>
                <w:color w:val="243746"/>
                <w:sz w:val="18"/>
              </w:rPr>
              <w:t>1.0</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Approval date</w:t>
            </w:r>
          </w:p>
        </w:tc>
        <w:tc>
          <w:tcPr>
            <w:tcW w:type="dxa" w:w="7160"/>
            <w:tcMar>
              <w:top w:w="80" w:type="dxa"/>
              <w:start w:w="120" w:type="dxa"/>
              <w:bottom w:w="80" w:type="dxa"/>
              <w:end w:w="120" w:type="dxa"/>
            </w:tcMar>
            <w:vAlign w:val="center"/>
          </w:tcPr>
          <w:p>
            <w:pPr>
              <w:spacing w:after="40" w:line="252" w:lineRule="auto"/>
            </w:pPr>
            <w:r>
              <w:rPr>
                <w:color w:val="243746"/>
                <w:sz w:val="18"/>
              </w:rPr>
              <w:t>26 August 2026</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Module owner</w:t>
            </w:r>
          </w:p>
        </w:tc>
        <w:tc>
          <w:tcPr>
            <w:tcW w:type="dxa" w:w="7160"/>
            <w:tcMar>
              <w:top w:w="80" w:type="dxa"/>
              <w:start w:w="120" w:type="dxa"/>
              <w:bottom w:w="80" w:type="dxa"/>
              <w:end w:w="120" w:type="dxa"/>
            </w:tcMar>
            <w:vAlign w:val="center"/>
          </w:tcPr>
          <w:p>
            <w:pPr>
              <w:spacing w:after="40" w:line="252" w:lineRule="auto"/>
            </w:pPr>
            <w:r>
              <w:rPr>
                <w:color w:val="243746"/>
                <w:sz w:val="18"/>
              </w:rPr>
              <w:t>Rachel</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Primary dependencies</w:t>
            </w:r>
          </w:p>
        </w:tc>
        <w:tc>
          <w:tcPr>
            <w:tcW w:type="dxa" w:w="7160"/>
            <w:tcMar>
              <w:top w:w="80" w:type="dxa"/>
              <w:start w:w="120" w:type="dxa"/>
              <w:bottom w:w="80" w:type="dxa"/>
              <w:end w:w="120" w:type="dxa"/>
            </w:tcMar>
            <w:vAlign w:val="center"/>
          </w:tcPr>
          <w:p>
            <w:pPr>
              <w:spacing w:after="40" w:line="252" w:lineRule="auto"/>
            </w:pPr>
            <w:r>
              <w:rPr>
                <w:color w:val="243746"/>
                <w:sz w:val="18"/>
              </w:rPr>
              <w:t>Cloud SQL foundation; identity model</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Downstream modules</w:t>
            </w:r>
          </w:p>
        </w:tc>
        <w:tc>
          <w:tcPr>
            <w:tcW w:type="dxa" w:w="7160"/>
            <w:tcMar>
              <w:top w:w="80" w:type="dxa"/>
              <w:start w:w="120" w:type="dxa"/>
              <w:bottom w:w="80" w:type="dxa"/>
              <w:end w:w="120" w:type="dxa"/>
            </w:tcMar>
            <w:vAlign w:val="center"/>
          </w:tcPr>
          <w:p>
            <w:pPr>
              <w:spacing w:after="40" w:line="252" w:lineRule="auto"/>
            </w:pPr>
            <w:r>
              <w:rPr>
                <w:color w:val="243746"/>
                <w:sz w:val="18"/>
              </w:rPr>
              <w:t>M02–M12</w:t>
            </w:r>
          </w:p>
        </w:tc>
      </w:tr>
    </w:tbl>
    <w:p>
      <w:pPr>
        <w:spacing w:after="40"/>
      </w:pPr>
    </w:p>
    <w:p>
      <w:pPr>
        <w:spacing w:before="160"/>
      </w:pPr>
      <w:r>
        <w:rPr>
          <w:b/>
        </w:rPr>
        <w:t xml:space="preserve">Purpose. </w:t>
      </w:r>
      <w:r>
        <w:t>Define the enforceable tenant-context, schema-routing, transaction, audit, and verification requirements that every HaloFlow data-plane module must satisfy before it can process tenant operational data or PHI.</w:t>
      </w:r>
    </w:p>
    <w:p>
      <w:pPr>
        <w:pStyle w:val="Heading1"/>
      </w:pPr>
      <w:r>
        <w:t>1. Executive requirement</w:t>
      </w:r>
    </w:p>
    <w:p>
      <w:r>
        <w:t>HaloFlow shall provide one mandatory tenant-aware data-access boundary for all application and worker access to tenant operational data. Every operation shall begin with authenticated identity or trusted workload identity, resolve a tenant through an authoritative shared registry, open a database transaction, set the tenant schema locally for that transaction, perform only tenant-scoped work, and end with verified connection hygiene. The design shall fail closed when identity, tenant, schema, authorization, or transaction context is absent or inconsistent.</w:t>
      </w:r>
    </w:p>
    <w:p>
      <w:r>
        <w:rPr>
          <w:b/>
          <w:color w:val="9B1C1C"/>
        </w:rPr>
        <w:t xml:space="preserve">Production security condition: </w:t>
      </w:r>
      <w:r>
        <w:t>ADR-001 accepts schema-per-tenant with application-enforced routing and compensating controls. Because this is not a PostgreSQL authorization boundary, production readiness requires evidence that those controls are implemented and security/privacy sign-off is recorded.</w:t>
      </w:r>
    </w:p>
    <w:p>
      <w:pPr>
        <w:pStyle w:val="Heading1"/>
      </w:pPr>
      <w:r>
        <w:t>2. Scope</w:t>
      </w:r>
    </w:p>
    <w:p>
      <w:pPr>
        <w:pStyle w:val="Heading2"/>
      </w:pPr>
      <w:r>
        <w:t>2.1 In scope</w:t>
      </w:r>
    </w:p>
    <w:p>
      <w:pPr>
        <w:pStyle w:val="ListBullet"/>
      </w:pPr>
      <w:r>
        <w:t>Shared control schema and tenant schema conventions.</w:t>
      </w:r>
    </w:p>
    <w:p>
      <w:pPr>
        <w:pStyle w:val="ListBullet"/>
      </w:pPr>
      <w:r>
        <w:t>Trusted tenant and schema registry, including lifecycle state.</w:t>
      </w:r>
    </w:p>
    <w:p>
      <w:pPr>
        <w:pStyle w:val="ListBullet"/>
      </w:pPr>
      <w:r>
        <w:t>Tenant-context creation, propagation, validation, and rejection.</w:t>
      </w:r>
    </w:p>
    <w:p>
      <w:pPr>
        <w:pStyle w:val="ListBullet"/>
      </w:pPr>
      <w:r>
        <w:t>Transaction-scoped PostgreSQL search path and schema qualification rules.</w:t>
      </w:r>
    </w:p>
    <w:p>
      <w:pPr>
        <w:pStyle w:val="ListBullet"/>
      </w:pPr>
      <w:r>
        <w:t>Connection-pool checkout, return, reset, and contamination detection.</w:t>
      </w:r>
    </w:p>
    <w:p>
      <w:pPr>
        <w:pStyle w:val="ListBullet"/>
      </w:pPr>
      <w:r>
        <w:t>Application roles and least-privilege grants for runtime, migration, provisioning, read-only support, and break-glass access.</w:t>
      </w:r>
    </w:p>
    <w:p>
      <w:pPr>
        <w:pStyle w:val="ListBullet"/>
      </w:pPr>
      <w:r>
        <w:t>Audited support access and minimum-necessary data handling.</w:t>
      </w:r>
    </w:p>
    <w:p>
      <w:pPr>
        <w:pStyle w:val="ListBullet"/>
      </w:pPr>
      <w:r>
        <w:t>Provisioning, migration, suspension, archival, and decommissioning controls.</w:t>
      </w:r>
    </w:p>
    <w:p>
      <w:pPr>
        <w:pStyle w:val="ListBullet"/>
      </w:pPr>
      <w:r>
        <w:t>Negative cross-tenant, concurrency, failure-recovery, and security tests.</w:t>
      </w:r>
    </w:p>
    <w:p>
      <w:pPr>
        <w:pStyle w:val="ListBullet"/>
      </w:pPr>
      <w:r>
        <w:t>PHI-safe telemetry, alerts, runbooks, rollout, and rollback.</w:t>
      </w:r>
    </w:p>
    <w:p>
      <w:pPr>
        <w:pStyle w:val="Heading2"/>
      </w:pPr>
      <w:r>
        <w:t>2.2 Out of scope</w:t>
      </w:r>
    </w:p>
    <w:p>
      <w:pPr>
        <w:pStyle w:val="ListBullet"/>
      </w:pPr>
      <w:r>
        <w:t>End-user authentication UX and the enterprise identity-provider selection; M01 consumes the identity model and claims contract.</w:t>
      </w:r>
    </w:p>
    <w:p>
      <w:pPr>
        <w:pStyle w:val="ListBullet"/>
      </w:pPr>
      <w:r>
        <w:t>Business tables and workflows owned by M02–M12, except for their placement and access constraints.</w:t>
      </w:r>
    </w:p>
    <w:p>
      <w:pPr>
        <w:pStyle w:val="ListBullet"/>
      </w:pPr>
      <w:r>
        <w:t>Tenant object-storage credentials and prefix isolation beyond recording the required tenant identifier; detailed controls belong to M08.</w:t>
      </w:r>
    </w:p>
    <w:p>
      <w:pPr>
        <w:pStyle w:val="ListBullet"/>
      </w:pPr>
      <w:r>
        <w:t>Cross-tenant analytics, data warehouse design, model training, or customer benchmarking.</w:t>
      </w:r>
    </w:p>
    <w:p>
      <w:pPr>
        <w:pStyle w:val="ListBullet"/>
      </w:pPr>
      <w:r>
        <w:t>Per-tenant database instances. A future move to per-tenant database roles or databases is an explicit review trigger, not part of this baseline.</w:t>
      </w:r>
    </w:p>
    <w:p>
      <w:pPr>
        <w:pStyle w:val="Heading1"/>
      </w:pPr>
      <w:r>
        <w:t>3. Terms and trust boundaries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800"/>
        <w:gridCol w:w="7560"/>
      </w:tblGrid>
      <w:tr>
        <w:trPr>
          <w:tblHeader w:val="true"/>
          <w:cantSplit w:val="true"/>
        </w:trPr>
        <w:tc>
          <w:tcPr>
            <w:tcW w:type="dxa" w:w="1800"/>
            <w:shd w:fill="E8EEF5"/>
            <w:tcMar>
              <w:top w:w="80" w:type="dxa"/>
              <w:start w:w="120" w:type="dxa"/>
              <w:bottom w:w="80" w:type="dxa"/>
              <w:end w:w="120" w:type="dxa"/>
            </w:tcMar>
            <w:vAlign w:val="center"/>
          </w:tcPr>
          <w:p>
            <w:r>
              <w:rPr>
                <w:b/>
                <w:color w:val="16324F"/>
                <w:sz w:val="18"/>
              </w:rPr>
              <w:t>Term</w:t>
            </w:r>
          </w:p>
        </w:tc>
        <w:tc>
          <w:tcPr>
            <w:tcW w:type="dxa" w:w="7560"/>
            <w:shd w:fill="E8EEF5"/>
            <w:tcMar>
              <w:top w:w="80" w:type="dxa"/>
              <w:start w:w="120" w:type="dxa"/>
              <w:bottom w:w="80" w:type="dxa"/>
              <w:end w:w="120" w:type="dxa"/>
            </w:tcMar>
            <w:vAlign w:val="center"/>
          </w:tcPr>
          <w:p>
            <w:r>
              <w:rPr>
                <w:b/>
                <w:color w:val="16324F"/>
                <w:sz w:val="18"/>
              </w:rPr>
              <w:t>Definition</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Tenant</w:t>
            </w:r>
          </w:p>
        </w:tc>
        <w:tc>
          <w:tcPr>
            <w:tcW w:type="dxa" w:w="7560"/>
            <w:tcMar>
              <w:top w:w="80" w:type="dxa"/>
              <w:start w:w="120" w:type="dxa"/>
              <w:bottom w:w="80" w:type="dxa"/>
              <w:end w:w="120" w:type="dxa"/>
            </w:tcMar>
            <w:vAlign w:val="center"/>
          </w:tcPr>
          <w:p>
            <w:pPr>
              <w:spacing w:after="40" w:line="252" w:lineRule="auto"/>
            </w:pPr>
            <w:r>
              <w:rPr>
                <w:color w:val="243746"/>
                <w:sz w:val="18"/>
              </w:rPr>
              <w:t>A customer organization forming the primary data-isolation boundary.</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tenant_id</w:t>
            </w:r>
          </w:p>
        </w:tc>
        <w:tc>
          <w:tcPr>
            <w:tcW w:type="dxa" w:w="7560"/>
            <w:tcMar>
              <w:top w:w="80" w:type="dxa"/>
              <w:start w:w="120" w:type="dxa"/>
              <w:bottom w:w="80" w:type="dxa"/>
              <w:end w:w="120" w:type="dxa"/>
            </w:tcMar>
            <w:vAlign w:val="center"/>
          </w:tcPr>
          <w:p>
            <w:pPr>
              <w:spacing w:after="40" w:line="252" w:lineRule="auto"/>
            </w:pPr>
            <w:r>
              <w:rPr>
                <w:color w:val="243746"/>
                <w:sz w:val="18"/>
              </w:rPr>
              <w:t>Immutable, opaque platform identifier used in authenticated context, registries, audit, and correlations; never accepted from an untrusted body without authorization validation.</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schema_key</w:t>
            </w:r>
          </w:p>
        </w:tc>
        <w:tc>
          <w:tcPr>
            <w:tcW w:type="dxa" w:w="7560"/>
            <w:tcMar>
              <w:top w:w="80" w:type="dxa"/>
              <w:start w:w="120" w:type="dxa"/>
              <w:bottom w:w="80" w:type="dxa"/>
              <w:end w:w="120" w:type="dxa"/>
            </w:tcMar>
            <w:vAlign w:val="center"/>
          </w:tcPr>
          <w:p>
            <w:pPr>
              <w:spacing w:after="40" w:line="252" w:lineRule="auto"/>
            </w:pPr>
            <w:r>
              <w:rPr>
                <w:color w:val="243746"/>
                <w:sz w:val="18"/>
              </w:rPr>
              <w:t>Database identifier assigned by provisioning and retrieved only from shared.tenants; never derived from customer text or request input.</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Shared schema</w:t>
            </w:r>
          </w:p>
        </w:tc>
        <w:tc>
          <w:tcPr>
            <w:tcW w:type="dxa" w:w="7560"/>
            <w:tcMar>
              <w:top w:w="80" w:type="dxa"/>
              <w:start w:w="120" w:type="dxa"/>
              <w:bottom w:w="80" w:type="dxa"/>
              <w:end w:w="120" w:type="dxa"/>
            </w:tcMar>
            <w:vAlign w:val="center"/>
          </w:tcPr>
          <w:p>
            <w:pPr>
              <w:spacing w:after="40" w:line="252" w:lineRule="auto"/>
            </w:pPr>
            <w:r>
              <w:rPr>
                <w:color w:val="243746"/>
                <w:sz w:val="18"/>
              </w:rPr>
              <w:t>Control infrastructure required to resolve or operate tenants; it must not become a general store for tenant PHI.</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Tenant schema</w:t>
            </w:r>
          </w:p>
        </w:tc>
        <w:tc>
          <w:tcPr>
            <w:tcW w:type="dxa" w:w="7560"/>
            <w:tcMar>
              <w:top w:w="80" w:type="dxa"/>
              <w:start w:w="120" w:type="dxa"/>
              <w:bottom w:w="80" w:type="dxa"/>
              <w:end w:w="120" w:type="dxa"/>
            </w:tcMar>
            <w:vAlign w:val="center"/>
          </w:tcPr>
          <w:p>
            <w:pPr>
              <w:spacing w:after="40" w:line="252" w:lineRule="auto"/>
            </w:pPr>
            <w:r>
              <w:rPr>
                <w:color w:val="243746"/>
                <w:sz w:val="18"/>
              </w:rPr>
              <w:t>Migrated schema containing operational data for exactly one tenant.</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Tenant context</w:t>
            </w:r>
          </w:p>
        </w:tc>
        <w:tc>
          <w:tcPr>
            <w:tcW w:type="dxa" w:w="7560"/>
            <w:tcMar>
              <w:top w:w="80" w:type="dxa"/>
              <w:start w:w="120" w:type="dxa"/>
              <w:bottom w:w="80" w:type="dxa"/>
              <w:end w:w="120" w:type="dxa"/>
            </w:tcMar>
            <w:vAlign w:val="center"/>
          </w:tcPr>
          <w:p>
            <w:pPr>
              <w:spacing w:after="40" w:line="252" w:lineRule="auto"/>
            </w:pPr>
            <w:r>
              <w:rPr>
                <w:color w:val="243746"/>
                <w:sz w:val="18"/>
              </w:rPr>
              <w:t>Validated runtime object binding actor/workload, tenant_id, schema_key, authorization basis, request/operation ID, purpose, and support-access state.</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Data-plane role</w:t>
            </w:r>
          </w:p>
        </w:tc>
        <w:tc>
          <w:tcPr>
            <w:tcW w:type="dxa" w:w="7560"/>
            <w:tcMar>
              <w:top w:w="80" w:type="dxa"/>
              <w:start w:w="120" w:type="dxa"/>
              <w:bottom w:w="80" w:type="dxa"/>
              <w:end w:w="120" w:type="dxa"/>
            </w:tcMar>
            <w:vAlign w:val="center"/>
          </w:tcPr>
          <w:p>
            <w:pPr>
              <w:spacing w:after="40" w:line="252" w:lineRule="auto"/>
            </w:pPr>
            <w:r>
              <w:rPr>
                <w:color w:val="243746"/>
                <w:sz w:val="18"/>
              </w:rPr>
              <w:t>Runtime database role used for ordinary tenant transactions; it may technically hold grants across schemas and therefore depends on compensating controls.</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Support access</w:t>
            </w:r>
          </w:p>
        </w:tc>
        <w:tc>
          <w:tcPr>
            <w:tcW w:type="dxa" w:w="7560"/>
            <w:tcMar>
              <w:top w:w="80" w:type="dxa"/>
              <w:start w:w="120" w:type="dxa"/>
              <w:bottom w:w="80" w:type="dxa"/>
              <w:end w:w="120" w:type="dxa"/>
            </w:tcMar>
            <w:vAlign w:val="center"/>
          </w:tcPr>
          <w:p>
            <w:pPr>
              <w:spacing w:after="40" w:line="252" w:lineRule="auto"/>
            </w:pPr>
            <w:r>
              <w:rPr>
                <w:color w:val="243746"/>
                <w:sz w:val="18"/>
              </w:rPr>
              <w:t>Time-bounded access by HaloVox personnel for an approved operational purpose, with enhanced audit.</w:t>
            </w:r>
          </w:p>
        </w:tc>
      </w:tr>
      <w:tr>
        <w:trPr>
          <w:cantSplit w:val="true"/>
        </w:trPr>
        <w:tc>
          <w:tcPr>
            <w:tcW w:type="dxa" w:w="1800"/>
            <w:tcMar>
              <w:top w:w="80" w:type="dxa"/>
              <w:start w:w="120" w:type="dxa"/>
              <w:bottom w:w="80" w:type="dxa"/>
              <w:end w:w="120" w:type="dxa"/>
            </w:tcMar>
            <w:vAlign w:val="center"/>
          </w:tcPr>
          <w:p>
            <w:pPr>
              <w:spacing w:after="40" w:line="252" w:lineRule="auto"/>
            </w:pPr>
            <w:r>
              <w:rPr>
                <w:color w:val="243746"/>
                <w:sz w:val="18"/>
              </w:rPr>
              <w:t>Break-glass</w:t>
            </w:r>
          </w:p>
        </w:tc>
        <w:tc>
          <w:tcPr>
            <w:tcW w:type="dxa" w:w="7560"/>
            <w:tcMar>
              <w:top w:w="80" w:type="dxa"/>
              <w:start w:w="120" w:type="dxa"/>
              <w:bottom w:w="80" w:type="dxa"/>
              <w:end w:w="120" w:type="dxa"/>
            </w:tcMar>
            <w:vAlign w:val="center"/>
          </w:tcPr>
          <w:p>
            <w:pPr>
              <w:spacing w:after="40" w:line="252" w:lineRule="auto"/>
            </w:pPr>
            <w:r>
              <w:rPr>
                <w:color w:val="243746"/>
                <w:sz w:val="18"/>
              </w:rPr>
              <w:t>Exceptional emergency access requiring stronger approval, reason, expiry, review, and alerting.</w:t>
            </w:r>
          </w:p>
        </w:tc>
      </w:tr>
    </w:tbl>
    <w:p>
      <w:pPr>
        <w:spacing w:after="40"/>
      </w:pPr>
    </w:p>
    <w:p>
      <w:pPr>
        <w:pStyle w:val="Heading1"/>
      </w:pPr>
      <w:r>
        <w:t>4. Actors and authorization inputs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500"/>
        <w:gridCol w:w="3300"/>
        <w:gridCol w:w="4560"/>
      </w:tblGrid>
      <w:tr>
        <w:trPr>
          <w:tblHeader w:val="true"/>
          <w:cantSplit w:val="true"/>
        </w:trPr>
        <w:tc>
          <w:tcPr>
            <w:tcW w:type="dxa" w:w="1500"/>
            <w:shd w:fill="E8EEF5"/>
            <w:tcMar>
              <w:top w:w="80" w:type="dxa"/>
              <w:start w:w="120" w:type="dxa"/>
              <w:bottom w:w="80" w:type="dxa"/>
              <w:end w:w="120" w:type="dxa"/>
            </w:tcMar>
            <w:vAlign w:val="center"/>
          </w:tcPr>
          <w:p>
            <w:r>
              <w:rPr>
                <w:b/>
                <w:color w:val="16324F"/>
                <w:sz w:val="18"/>
              </w:rPr>
              <w:t>Actor</w:t>
            </w:r>
          </w:p>
        </w:tc>
        <w:tc>
          <w:tcPr>
            <w:tcW w:type="dxa" w:w="3300"/>
            <w:shd w:fill="E8EEF5"/>
            <w:tcMar>
              <w:top w:w="80" w:type="dxa"/>
              <w:start w:w="120" w:type="dxa"/>
              <w:bottom w:w="80" w:type="dxa"/>
              <w:end w:w="120" w:type="dxa"/>
            </w:tcMar>
            <w:vAlign w:val="center"/>
          </w:tcPr>
          <w:p>
            <w:r>
              <w:rPr>
                <w:b/>
                <w:color w:val="16324F"/>
                <w:sz w:val="18"/>
              </w:rPr>
              <w:t>Required inputs</w:t>
            </w:r>
          </w:p>
        </w:tc>
        <w:tc>
          <w:tcPr>
            <w:tcW w:type="dxa" w:w="4560"/>
            <w:shd w:fill="E8EEF5"/>
            <w:tcMar>
              <w:top w:w="80" w:type="dxa"/>
              <w:start w:w="120" w:type="dxa"/>
              <w:bottom w:w="80" w:type="dxa"/>
              <w:end w:w="120" w:type="dxa"/>
            </w:tcMar>
            <w:vAlign w:val="center"/>
          </w:tcPr>
          <w:p>
            <w:r>
              <w:rPr>
                <w:b/>
                <w:color w:val="16324F"/>
                <w:sz w:val="18"/>
              </w:rPr>
              <w:t>Permitted result</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Clinic user</w:t>
            </w:r>
          </w:p>
        </w:tc>
        <w:tc>
          <w:tcPr>
            <w:tcW w:type="dxa" w:w="3300"/>
            <w:tcMar>
              <w:top w:w="80" w:type="dxa"/>
              <w:start w:w="120" w:type="dxa"/>
              <w:bottom w:w="80" w:type="dxa"/>
              <w:end w:w="120" w:type="dxa"/>
            </w:tcMar>
            <w:vAlign w:val="center"/>
          </w:tcPr>
          <w:p>
            <w:pPr>
              <w:spacing w:after="40" w:line="252" w:lineRule="auto"/>
            </w:pPr>
            <w:r>
              <w:rPr>
                <w:color w:val="243746"/>
                <w:sz w:val="18"/>
              </w:rPr>
              <w:t>Authenticated subject, organization membership, role, session, purpose/context</w:t>
            </w:r>
          </w:p>
        </w:tc>
        <w:tc>
          <w:tcPr>
            <w:tcW w:type="dxa" w:w="4560"/>
            <w:tcMar>
              <w:top w:w="80" w:type="dxa"/>
              <w:start w:w="120" w:type="dxa"/>
              <w:bottom w:w="80" w:type="dxa"/>
              <w:end w:w="120" w:type="dxa"/>
            </w:tcMar>
            <w:vAlign w:val="center"/>
          </w:tcPr>
          <w:p>
            <w:pPr>
              <w:spacing w:after="40" w:line="252" w:lineRule="auto"/>
            </w:pPr>
            <w:r>
              <w:rPr>
                <w:color w:val="243746"/>
                <w:sz w:val="18"/>
              </w:rPr>
              <w:t>Only authorized tenant context; never selectable by arbitrary schema name.</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Service workload</w:t>
            </w:r>
          </w:p>
        </w:tc>
        <w:tc>
          <w:tcPr>
            <w:tcW w:type="dxa" w:w="3300"/>
            <w:tcMar>
              <w:top w:w="80" w:type="dxa"/>
              <w:start w:w="120" w:type="dxa"/>
              <w:bottom w:w="80" w:type="dxa"/>
              <w:end w:w="120" w:type="dxa"/>
            </w:tcMar>
            <w:vAlign w:val="center"/>
          </w:tcPr>
          <w:p>
            <w:pPr>
              <w:spacing w:after="40" w:line="252" w:lineRule="auto"/>
            </w:pPr>
            <w:r>
              <w:rPr>
                <w:color w:val="243746"/>
                <w:sz w:val="18"/>
              </w:rPr>
              <w:t>Verified workload identity, allowlisted service, operation source, tenant routing evidence</w:t>
            </w:r>
          </w:p>
        </w:tc>
        <w:tc>
          <w:tcPr>
            <w:tcW w:type="dxa" w:w="4560"/>
            <w:tcMar>
              <w:top w:w="80" w:type="dxa"/>
              <w:start w:w="120" w:type="dxa"/>
              <w:bottom w:w="80" w:type="dxa"/>
              <w:end w:w="120" w:type="dxa"/>
            </w:tcMar>
            <w:vAlign w:val="center"/>
          </w:tcPr>
          <w:p>
            <w:pPr>
              <w:spacing w:after="40" w:line="252" w:lineRule="auto"/>
            </w:pPr>
            <w:r>
              <w:rPr>
                <w:color w:val="243746"/>
                <w:sz w:val="18"/>
              </w:rPr>
              <w:t>Tenant context only for functions granted to that workload.</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Background job</w:t>
            </w:r>
          </w:p>
        </w:tc>
        <w:tc>
          <w:tcPr>
            <w:tcW w:type="dxa" w:w="3300"/>
            <w:tcMar>
              <w:top w:w="80" w:type="dxa"/>
              <w:start w:w="120" w:type="dxa"/>
              <w:bottom w:w="80" w:type="dxa"/>
              <w:end w:w="120" w:type="dxa"/>
            </w:tcMar>
            <w:vAlign w:val="center"/>
          </w:tcPr>
          <w:p>
            <w:pPr>
              <w:spacing w:after="40" w:line="252" w:lineRule="auto"/>
            </w:pPr>
            <w:r>
              <w:rPr>
                <w:color w:val="243746"/>
                <w:sz w:val="18"/>
              </w:rPr>
              <w:t>Trusted schedule/job record containing tenant_id and immutable job identity</w:t>
            </w:r>
          </w:p>
        </w:tc>
        <w:tc>
          <w:tcPr>
            <w:tcW w:type="dxa" w:w="4560"/>
            <w:tcMar>
              <w:top w:w="80" w:type="dxa"/>
              <w:start w:w="120" w:type="dxa"/>
              <w:bottom w:w="80" w:type="dxa"/>
              <w:end w:w="120" w:type="dxa"/>
            </w:tcMar>
            <w:vAlign w:val="center"/>
          </w:tcPr>
          <w:p>
            <w:pPr>
              <w:spacing w:after="40" w:line="252" w:lineRule="auto"/>
            </w:pPr>
            <w:r>
              <w:rPr>
                <w:color w:val="243746"/>
                <w:sz w:val="18"/>
              </w:rPr>
              <w:t>One tenant context per claimed unit of work.</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HaloVox support</w:t>
            </w:r>
          </w:p>
        </w:tc>
        <w:tc>
          <w:tcPr>
            <w:tcW w:type="dxa" w:w="3300"/>
            <w:tcMar>
              <w:top w:w="80" w:type="dxa"/>
              <w:start w:w="120" w:type="dxa"/>
              <w:bottom w:w="80" w:type="dxa"/>
              <w:end w:w="120" w:type="dxa"/>
            </w:tcMar>
            <w:vAlign w:val="center"/>
          </w:tcPr>
          <w:p>
            <w:pPr>
              <w:spacing w:after="40" w:line="252" w:lineRule="auto"/>
            </w:pPr>
            <w:r>
              <w:rPr>
                <w:color w:val="243746"/>
                <w:sz w:val="18"/>
              </w:rPr>
              <w:t>Named workforce identity, approved tenant, ticket/case, role, reason, duration</w:t>
            </w:r>
          </w:p>
        </w:tc>
        <w:tc>
          <w:tcPr>
            <w:tcW w:type="dxa" w:w="4560"/>
            <w:tcMar>
              <w:top w:w="80" w:type="dxa"/>
              <w:start w:w="120" w:type="dxa"/>
              <w:bottom w:w="80" w:type="dxa"/>
              <w:end w:w="120" w:type="dxa"/>
            </w:tcMar>
            <w:vAlign w:val="center"/>
          </w:tcPr>
          <w:p>
            <w:pPr>
              <w:spacing w:after="40" w:line="252" w:lineRule="auto"/>
            </w:pPr>
            <w:r>
              <w:rPr>
                <w:color w:val="243746"/>
                <w:sz w:val="18"/>
              </w:rPr>
              <w:t>Read-only by default; elevated actions separately authorized and audited.</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Migration/provisioner</w:t>
            </w:r>
          </w:p>
        </w:tc>
        <w:tc>
          <w:tcPr>
            <w:tcW w:type="dxa" w:w="3300"/>
            <w:tcMar>
              <w:top w:w="80" w:type="dxa"/>
              <w:start w:w="120" w:type="dxa"/>
              <w:bottom w:w="80" w:type="dxa"/>
              <w:end w:w="120" w:type="dxa"/>
            </w:tcMar>
            <w:vAlign w:val="center"/>
          </w:tcPr>
          <w:p>
            <w:pPr>
              <w:spacing w:after="40" w:line="252" w:lineRule="auto"/>
            </w:pPr>
            <w:r>
              <w:rPr>
                <w:color w:val="243746"/>
                <w:sz w:val="18"/>
              </w:rPr>
              <w:t>Privileged workload identity and approved change/provision request</w:t>
            </w:r>
          </w:p>
        </w:tc>
        <w:tc>
          <w:tcPr>
            <w:tcW w:type="dxa" w:w="4560"/>
            <w:tcMar>
              <w:top w:w="80" w:type="dxa"/>
              <w:start w:w="120" w:type="dxa"/>
              <w:bottom w:w="80" w:type="dxa"/>
              <w:end w:w="120" w:type="dxa"/>
            </w:tcMar>
            <w:vAlign w:val="center"/>
          </w:tcPr>
          <w:p>
            <w:pPr>
              <w:spacing w:after="40" w:line="252" w:lineRule="auto"/>
            </w:pPr>
            <w:r>
              <w:rPr>
                <w:color w:val="243746"/>
                <w:sz w:val="18"/>
              </w:rPr>
              <w:t>DDL and registry lifecycle actions; no ordinary application use.</w:t>
            </w:r>
          </w:p>
        </w:tc>
      </w:tr>
    </w:tbl>
    <w:p>
      <w:pPr>
        <w:spacing w:after="40"/>
      </w:pPr>
    </w:p>
    <w:p>
      <w:pPr>
        <w:pStyle w:val="Heading1"/>
      </w:pPr>
      <w:r>
        <w:t>5. Functional requirements</w:t>
      </w:r>
    </w:p>
    <w:p>
      <w:pPr>
        <w:keepNext/>
        <w:spacing w:before="120" w:after="40"/>
      </w:pPr>
      <w:r>
        <w:rPr>
          <w:b/>
          <w:color w:val="2E74B5"/>
        </w:rPr>
        <w:t>M01-FR-001 — Canonical tenant registry</w:t>
      </w:r>
    </w:p>
    <w:p>
      <w:r>
        <w:t>The shared.tenants registry shall be the sole authority mapping tenant_id to schema_key and lifecycle state. schema_key shall be generated by trusted provisioning logic, unique, immutable after activation, restricted to a safe database-identifier pattern, and never copied from a tenant name.</w:t>
      </w:r>
    </w:p>
    <w:p>
      <w:pPr>
        <w:spacing w:after="100"/>
        <w:ind w:left="317"/>
      </w:pPr>
      <w:r>
        <w:rPr>
          <w:b/>
          <w:color w:val="16324F"/>
        </w:rPr>
        <w:t xml:space="preserve">Acceptance: </w:t>
      </w:r>
      <w:r>
        <w:t>Invalid, duplicate, inactive, or unregistered mappings are rejected; direct caller-supplied schema names never reach SQL construction.</w:t>
      </w:r>
    </w:p>
    <w:p>
      <w:pPr>
        <w:keepNext/>
        <w:spacing w:before="120" w:after="40"/>
      </w:pPr>
      <w:r>
        <w:rPr>
          <w:b/>
          <w:color w:val="2E74B5"/>
        </w:rPr>
        <w:t>M01-FR-002 — Tenant lifecycle states</w:t>
      </w:r>
    </w:p>
    <w:p>
      <w:r>
        <w:t>The registry shall support at minimum provisioning, active, suspended, archival_pending, archived, and decommissioned states. Each state shall define whether reads, writes, scheduled work, support access, migrations, and reactivation are allowed.</w:t>
      </w:r>
    </w:p>
    <w:p>
      <w:pPr>
        <w:spacing w:after="100"/>
        <w:ind w:left="317"/>
      </w:pPr>
      <w:r>
        <w:rPr>
          <w:b/>
          <w:color w:val="16324F"/>
        </w:rPr>
        <w:t xml:space="preserve">Acceptance: </w:t>
      </w:r>
      <w:r>
        <w:t>Automated tests prove disallowed operations fail closed in each lifecycle state and that state transitions are audited.</w:t>
      </w:r>
    </w:p>
    <w:p>
      <w:pPr>
        <w:keepNext/>
        <w:spacing w:before="120" w:after="40"/>
      </w:pPr>
      <w:r>
        <w:rPr>
          <w:b/>
          <w:color w:val="2E74B5"/>
        </w:rPr>
        <w:t>M01-FR-003 — Context creation</w:t>
      </w:r>
    </w:p>
    <w:p>
      <w:r>
        <w:t>A tenant context shall be created only by a trusted boundary after authentication and authorization. It shall contain tenant_id, schema_key, actor/workload ID, auth method, role/capability set, purpose, request_id or operation_id, source, issued_at, and support-access metadata when applicable.</w:t>
      </w:r>
    </w:p>
    <w:p>
      <w:pPr>
        <w:spacing w:after="100"/>
        <w:ind w:left="317"/>
      </w:pPr>
      <w:r>
        <w:rPr>
          <w:b/>
          <w:color w:val="16324F"/>
        </w:rPr>
        <w:t xml:space="preserve">Acceptance: </w:t>
      </w:r>
      <w:r>
        <w:t>Data-access entry points reject missing, expired, malformed, or internally inconsistent contexts before obtaining a tenant transaction.</w:t>
      </w:r>
    </w:p>
    <w:p>
      <w:pPr>
        <w:keepNext/>
        <w:spacing w:before="120" w:after="40"/>
      </w:pPr>
      <w:r>
        <w:rPr>
          <w:b/>
          <w:color w:val="2E74B5"/>
        </w:rPr>
        <w:t>M01-FR-004 — Context propagation</w:t>
      </w:r>
    </w:p>
    <w:p>
      <w:r>
        <w:t>Tenant context shall be propagated explicitly across synchronous service calls and asynchronous work records. Untrusted headers or payload fields shall be treated as routing hints until matched to an authorized registry record.</w:t>
      </w:r>
    </w:p>
    <w:p>
      <w:pPr>
        <w:spacing w:after="100"/>
        <w:ind w:left="317"/>
      </w:pPr>
      <w:r>
        <w:rPr>
          <w:b/>
          <w:color w:val="16324F"/>
        </w:rPr>
        <w:t xml:space="preserve">Acceptance: </w:t>
      </w:r>
      <w:r>
        <w:t>A forged tenant_id or schema_key cannot alter the tenant selected by the trusted authorization/routing layer.</w:t>
      </w:r>
    </w:p>
    <w:p>
      <w:pPr>
        <w:keepNext/>
        <w:spacing w:before="120" w:after="40"/>
      </w:pPr>
      <w:r>
        <w:rPr>
          <w:b/>
          <w:color w:val="2E74B5"/>
        </w:rPr>
        <w:t>M01-FR-005 — Single tenant per unit of work</w:t>
      </w:r>
    </w:p>
    <w:p>
      <w:r>
        <w:t>An application request, worker claim, or transaction shall operate on one tenant only. Cross-tenant loops shall create a fresh context and transaction for each tenant.</w:t>
      </w:r>
    </w:p>
    <w:p>
      <w:pPr>
        <w:spacing w:after="100"/>
        <w:ind w:left="317"/>
      </w:pPr>
      <w:r>
        <w:rPr>
          <w:b/>
          <w:color w:val="16324F"/>
        </w:rPr>
        <w:t xml:space="preserve">Acceptance: </w:t>
      </w:r>
      <w:r>
        <w:t>Instrumentation detects and tests reject attempts to change tenant context within an open transaction.</w:t>
      </w:r>
    </w:p>
    <w:p>
      <w:pPr>
        <w:keepNext/>
        <w:spacing w:before="120" w:after="40"/>
      </w:pPr>
      <w:r>
        <w:rPr>
          <w:b/>
          <w:color w:val="2E74B5"/>
        </w:rPr>
        <w:t>M01-FR-006 — Mandatory data-access gateway</w:t>
      </w:r>
    </w:p>
    <w:p>
      <w:r>
        <w:t>All tenant SQL shall pass through the approved tenant-aware data-access layer. Direct pool access, ad hoc connection creation, and schema-qualified tenant SQL outside approved migration/provisioning code shall be prohibited by code ownership, lint/static checks, and review.</w:t>
      </w:r>
    </w:p>
    <w:p>
      <w:pPr>
        <w:spacing w:after="100"/>
        <w:ind w:left="317"/>
      </w:pPr>
      <w:r>
        <w:rPr>
          <w:b/>
          <w:color w:val="16324F"/>
        </w:rPr>
        <w:t xml:space="preserve">Acceptance: </w:t>
      </w:r>
      <w:r>
        <w:t>Repository checks identify prohibited access patterns; integration tests demonstrate downstream repositories cannot query without a context-bound transaction.</w:t>
      </w:r>
    </w:p>
    <w:p>
      <w:pPr>
        <w:keepNext/>
        <w:spacing w:before="120" w:after="40"/>
      </w:pPr>
      <w:r>
        <w:rPr>
          <w:b/>
          <w:color w:val="2E74B5"/>
        </w:rPr>
        <w:t>M01-FR-007 — Transaction-scoped schema routing</w:t>
      </w:r>
    </w:p>
    <w:p>
      <w:r>
        <w:t>The gateway shall begin a transaction and execute SET LOCAL search_path using a safely quoted schema_key retrieved from shared.tenants. The path shall include only the selected tenant schema and the explicitly approved shared/system schemas required by the operation.</w:t>
      </w:r>
    </w:p>
    <w:p>
      <w:pPr>
        <w:spacing w:after="100"/>
        <w:ind w:left="317"/>
      </w:pPr>
      <w:r>
        <w:rPr>
          <w:b/>
          <w:color w:val="16324F"/>
        </w:rPr>
        <w:t xml:space="preserve">Acceptance: </w:t>
      </w:r>
      <w:r>
        <w:t>search_path is local to the transaction, is verified before business SQL, and is no longer effective after commit or rollback.</w:t>
      </w:r>
    </w:p>
    <w:p>
      <w:pPr>
        <w:keepNext/>
        <w:spacing w:before="120" w:after="40"/>
      </w:pPr>
      <w:r>
        <w:rPr>
          <w:b/>
          <w:color w:val="2E74B5"/>
        </w:rPr>
        <w:t>M01-FR-008 — No implicit public resolution</w:t>
      </w:r>
    </w:p>
    <w:p>
      <w:r>
        <w:t>The runtime search path shall not allow untrusted objects in public or another writable schema to shadow approved objects. CREATE privilege on shared/system resolution schemas shall be restricted.</w:t>
      </w:r>
    </w:p>
    <w:p>
      <w:pPr>
        <w:spacing w:after="100"/>
        <w:ind w:left="317"/>
      </w:pPr>
      <w:r>
        <w:rPr>
          <w:b/>
          <w:color w:val="16324F"/>
        </w:rPr>
        <w:t xml:space="preserve">Acceptance: </w:t>
      </w:r>
      <w:r>
        <w:t>A malicious same-named object in an unauthorized schema cannot be resolved by a tenant transaction.</w:t>
      </w:r>
    </w:p>
    <w:p>
      <w:pPr>
        <w:keepNext/>
        <w:spacing w:before="120" w:after="40"/>
      </w:pPr>
      <w:r>
        <w:rPr>
          <w:b/>
          <w:color w:val="2E74B5"/>
        </w:rPr>
        <w:t>M01-FR-009 — Atomic tenant transaction</w:t>
      </w:r>
    </w:p>
    <w:p>
      <w:r>
        <w:t>Tenant business changes and their required tenant-local audit/event/queue records shall commit or roll back atomically. Atomicity is the default when the owning module does not explicitly define a different, reviewed transaction boundary. Any exception shall document the consistency model, durable recovery path, and user-visible outcome. Shared control updates in the same transaction require a documented transaction pattern and lock order.</w:t>
      </w:r>
    </w:p>
    <w:p>
      <w:pPr>
        <w:spacing w:after="100"/>
        <w:ind w:left="317"/>
      </w:pPr>
      <w:r>
        <w:rPr>
          <w:b/>
          <w:color w:val="16324F"/>
        </w:rPr>
        <w:t xml:space="preserve">Acceptance: </w:t>
      </w:r>
      <w:r>
        <w:t>Injected failures at each write boundary leave no partial tenant mutation and no success result after rollback, unless an approved exception demonstrates its documented recovery behavior.</w:t>
      </w:r>
    </w:p>
    <w:p>
      <w:pPr>
        <w:keepNext/>
        <w:spacing w:before="120" w:after="40"/>
      </w:pPr>
      <w:r>
        <w:rPr>
          <w:b/>
          <w:color w:val="2E74B5"/>
        </w:rPr>
        <w:t>M01-FR-010 — Pool checkout and return hygiene</w:t>
      </w:r>
    </w:p>
    <w:p>
      <w:r>
        <w:t>Connections shall enter the tenant gateway in a known baseline state. On every return path—including exception, timeout, cancellation, and process shutdown—the transaction shall be committed or rolled back and session state reset or the connection discarded.</w:t>
      </w:r>
    </w:p>
    <w:p>
      <w:pPr>
        <w:spacing w:after="100"/>
        <w:ind w:left="317"/>
      </w:pPr>
      <w:r>
        <w:rPr>
          <w:b/>
          <w:color w:val="16324F"/>
        </w:rPr>
        <w:t xml:space="preserve">Acceptance: </w:t>
      </w:r>
      <w:r>
        <w:t>Pool reuse tests alternate tenants on the same physical connection without exposing prior tenant state; contaminated connections are quarantined or closed.</w:t>
      </w:r>
    </w:p>
    <w:p>
      <w:pPr>
        <w:keepNext/>
        <w:spacing w:before="120" w:after="40"/>
      </w:pPr>
      <w:r>
        <w:rPr>
          <w:b/>
          <w:color w:val="2E74B5"/>
        </w:rPr>
        <w:t>M01-FR-011 — Session-state restrictions</w:t>
      </w:r>
    </w:p>
    <w:p>
      <w:r>
        <w:t>Runtime code shall not use session-scoped SET search_path, persistent temporary objects, prepared statements that embed untrusted identifiers, or session variables that can survive pool return unless an approved reset contract covers them.</w:t>
      </w:r>
    </w:p>
    <w:p>
      <w:pPr>
        <w:spacing w:after="100"/>
        <w:ind w:left="317"/>
      </w:pPr>
      <w:r>
        <w:rPr>
          <w:b/>
          <w:color w:val="16324F"/>
        </w:rPr>
        <w:t xml:space="preserve">Acceptance: </w:t>
      </w:r>
      <w:r>
        <w:t>Static and integration checks cover prohibited session-state mechanisms and validate the reset contract.</w:t>
      </w:r>
    </w:p>
    <w:p>
      <w:pPr>
        <w:keepNext/>
        <w:spacing w:before="120" w:after="40"/>
      </w:pPr>
      <w:r>
        <w:rPr>
          <w:b/>
          <w:color w:val="2E74B5"/>
        </w:rPr>
        <w:t>M01-FR-012 — Shared-schema minimization</w:t>
      </w:r>
    </w:p>
    <w:p>
      <w:r>
        <w:t>Shared tables shall contain only control-plane data needed to resolve, route, reconcile, provision, or audit tenants. Tenant clinical and operational records shall remain in tenant schemas unless a separately reviewed architecture decision approves an exception. A machine-readable manifest shall classify every shared-schema column as control-plane, pseudonymous identifier, or PHI and shall be maintained with schema migrations.</w:t>
      </w:r>
    </w:p>
    <w:p>
      <w:pPr>
        <w:spacing w:after="100"/>
        <w:ind w:left="317"/>
      </w:pPr>
      <w:r>
        <w:rPr>
          <w:b/>
          <w:color w:val="16324F"/>
        </w:rPr>
        <w:t xml:space="preserve">Acceptance: </w:t>
      </w:r>
      <w:r>
        <w:t>Human data-classification review confirms each shared table and column. CI rejects new or changed shared columns that lack a classification and rejects any shared column classified as PHI unless a separately approved architecture exception is referenced.</w:t>
      </w:r>
    </w:p>
    <w:p>
      <w:pPr>
        <w:keepNext/>
        <w:spacing w:before="120" w:after="40"/>
      </w:pPr>
      <w:r>
        <w:rPr>
          <w:b/>
          <w:color w:val="2E74B5"/>
        </w:rPr>
        <w:t>M01-FR-013 — Database roles and grants</w:t>
      </w:r>
    </w:p>
    <w:p>
      <w:r>
        <w:t>Separate roles shall exist for runtime, migration, provisioning, support read-only, and break-glass activities. Roles shall receive least privilege; application roles shall not own schemas or objects; DDL shall be unavailable to the runtime role.</w:t>
      </w:r>
    </w:p>
    <w:p>
      <w:pPr>
        <w:spacing w:after="100"/>
        <w:ind w:left="317"/>
      </w:pPr>
      <w:r>
        <w:rPr>
          <w:b/>
          <w:color w:val="16324F"/>
        </w:rPr>
        <w:t xml:space="preserve">Acceptance: </w:t>
      </w:r>
      <w:r>
        <w:t>Grant inspection in CI/pre-production matches an approved permissions manifest and proves prohibited DDL and cross-purpose actions fail.</w:t>
      </w:r>
    </w:p>
    <w:p>
      <w:pPr>
        <w:keepNext/>
        <w:spacing w:before="120" w:after="40"/>
      </w:pPr>
      <w:r>
        <w:rPr>
          <w:b/>
          <w:color w:val="2E74B5"/>
        </w:rPr>
        <w:t>M01-FR-014 — Support access request</w:t>
      </w:r>
    </w:p>
    <w:p>
      <w:r>
        <w:t>Support access shall require a named workforce identity, authorized tenant, ticket/case identifier, stated purpose, requested capability, approval where required, and bounded expiration. Tenant impersonation without an access record is prohibited.</w:t>
      </w:r>
    </w:p>
    <w:p>
      <w:pPr>
        <w:spacing w:after="100"/>
        <w:ind w:left="317"/>
      </w:pPr>
      <w:r>
        <w:rPr>
          <w:b/>
          <w:color w:val="16324F"/>
        </w:rPr>
        <w:t xml:space="preserve">Acceptance: </w:t>
      </w:r>
      <w:r>
        <w:t>Expired, unapproved, or tenant-mismatched access requests are rejected and generate a security event.</w:t>
      </w:r>
    </w:p>
    <w:p>
      <w:pPr>
        <w:keepNext/>
        <w:spacing w:before="120" w:after="40"/>
      </w:pPr>
      <w:r>
        <w:rPr>
          <w:b/>
          <w:color w:val="2E74B5"/>
        </w:rPr>
        <w:t>M01-FR-015 — Support access audit</w:t>
      </w:r>
    </w:p>
    <w:p>
      <w:r>
        <w:t>Support access shall create append-only audit records for request, approval, start, each meaningful access/action, elevation, end, and review. Audit records shall include who, tenant, purpose, ticket, capability, time, outcome, request/operation IDs, and affected resource class without placing PHI in free text.</w:t>
      </w:r>
    </w:p>
    <w:p>
      <w:pPr>
        <w:spacing w:after="100"/>
        <w:ind w:left="317"/>
      </w:pPr>
      <w:r>
        <w:rPr>
          <w:b/>
          <w:color w:val="16324F"/>
        </w:rPr>
        <w:t xml:space="preserve">Acceptance: </w:t>
      </w:r>
      <w:r>
        <w:t>Audit events are queryable by tenant and actor, tamper-evident through restricted grants, and retained according to approved policy.</w:t>
      </w:r>
    </w:p>
    <w:p>
      <w:pPr>
        <w:keepNext/>
        <w:spacing w:before="120" w:after="40"/>
      </w:pPr>
      <w:r>
        <w:rPr>
          <w:b/>
          <w:color w:val="2E74B5"/>
        </w:rPr>
        <w:t>M01-FR-016 — Break-glass controls</w:t>
      </w:r>
    </w:p>
    <w:p>
      <w:r>
        <w:t>Break-glass access shall require explicit emergency reason, short expiry, enhanced authentication, real-time alerting, full action audit, and retrospective review. Write capability shall be granted only when read-only access is insufficient.</w:t>
      </w:r>
    </w:p>
    <w:p>
      <w:pPr>
        <w:spacing w:after="100"/>
        <w:ind w:left="317"/>
      </w:pPr>
      <w:r>
        <w:rPr>
          <w:b/>
          <w:color w:val="16324F"/>
        </w:rPr>
        <w:t xml:space="preserve">Acceptance: </w:t>
      </w:r>
      <w:r>
        <w:t>A break-glass exercise demonstrates automatic expiry, alert delivery, and completed review evidence.</w:t>
      </w:r>
    </w:p>
    <w:p>
      <w:pPr>
        <w:keepNext/>
        <w:spacing w:before="120" w:after="40"/>
      </w:pPr>
      <w:r>
        <w:rPr>
          <w:b/>
          <w:color w:val="2E74B5"/>
        </w:rPr>
        <w:t>M01-FR-017 — Provisioning</w:t>
      </w:r>
    </w:p>
    <w:p>
      <w:r>
        <w:t>Provisioning shall allocate tenant_id and schema_key, create the schema through the privileged provisioner, apply the current migration baseline, record version/checksum, validate grants and isolation tests, and activate only after all checks pass.</w:t>
      </w:r>
    </w:p>
    <w:p>
      <w:pPr>
        <w:spacing w:after="100"/>
        <w:ind w:left="317"/>
      </w:pPr>
      <w:r>
        <w:rPr>
          <w:b/>
          <w:color w:val="16324F"/>
        </w:rPr>
        <w:t xml:space="preserve">Acceptance: </w:t>
      </w:r>
      <w:r>
        <w:t>A partially provisioned tenant remains unavailable and can be safely resumed or rolled back without reusing an ambiguous schema identity.</w:t>
      </w:r>
    </w:p>
    <w:p>
      <w:pPr>
        <w:keepNext/>
        <w:spacing w:before="120" w:after="40"/>
      </w:pPr>
      <w:r>
        <w:rPr>
          <w:b/>
          <w:color w:val="2E74B5"/>
        </w:rPr>
        <w:t>M01-FR-018 — Schema migrations</w:t>
      </w:r>
    </w:p>
    <w:p>
      <w:r>
        <w:t>All active tenant schemas shall share a controlled schema version. Migrations shall be idempotent or safely restartable, ordered, checksummed, observable per tenant, and capable of canary rollout, pause, retry, and rollback/forward-fix.</w:t>
      </w:r>
    </w:p>
    <w:p>
      <w:pPr>
        <w:spacing w:after="100"/>
        <w:ind w:left="317"/>
      </w:pPr>
      <w:r>
        <w:rPr>
          <w:b/>
          <w:color w:val="16324F"/>
        </w:rPr>
        <w:t xml:space="preserve">Acceptance: </w:t>
      </w:r>
      <w:r>
        <w:t>Version drift is detected; a failed tenant migration does not silently activate incompatible application behavior.</w:t>
      </w:r>
    </w:p>
    <w:p>
      <w:pPr>
        <w:keepNext/>
        <w:spacing w:before="120" w:after="40"/>
      </w:pPr>
      <w:r>
        <w:rPr>
          <w:b/>
          <w:color w:val="2E74B5"/>
        </w:rPr>
        <w:t>M01-FR-019 — Suspension and decommissioning</w:t>
      </w:r>
    </w:p>
    <w:p>
      <w:r>
        <w:t>Suspension shall stop new tenant writes and automated jobs according to policy while preserving required support/recovery access. Decommissioning shall require approval, retention/legal-hold checks, verified export if contracted, deletion evidence, and registry tombstoning.</w:t>
      </w:r>
    </w:p>
    <w:p>
      <w:pPr>
        <w:spacing w:after="100"/>
        <w:ind w:left="317"/>
      </w:pPr>
      <w:r>
        <w:rPr>
          <w:b/>
          <w:color w:val="16324F"/>
        </w:rPr>
        <w:t xml:space="preserve">Acceptance: </w:t>
      </w:r>
      <w:r>
        <w:t>Decommissioned schemas cannot be resolved; destructive steps require two-person or equivalent controlled approval and produce evidence.</w:t>
      </w:r>
    </w:p>
    <w:p>
      <w:pPr>
        <w:keepNext/>
        <w:spacing w:before="120" w:after="40"/>
      </w:pPr>
      <w:r>
        <w:rPr>
          <w:b/>
          <w:color w:val="2E74B5"/>
        </w:rPr>
        <w:t>M01-FR-020 — Tenant-aware caches and background work</w:t>
      </w:r>
    </w:p>
    <w:p>
      <w:r>
        <w:t>Cache keys, locks, idempotency keys, jobs, metrics dimensions, and temporary artifacts that can affect tenant behavior shall include or be cryptographically bound to tenant_id. Workers shall resolve context anew when claiming work.</w:t>
      </w:r>
    </w:p>
    <w:p>
      <w:pPr>
        <w:spacing w:after="100"/>
        <w:ind w:left="317"/>
      </w:pPr>
      <w:r>
        <w:rPr>
          <w:b/>
          <w:color w:val="16324F"/>
        </w:rPr>
        <w:t xml:space="preserve">Acceptance: </w:t>
      </w:r>
      <w:r>
        <w:t>Identical business identifiers in two tenants do not collide or leak state.</w:t>
      </w:r>
    </w:p>
    <w:p>
      <w:pPr>
        <w:keepNext/>
        <w:spacing w:before="120" w:after="40"/>
      </w:pPr>
      <w:r>
        <w:rPr>
          <w:b/>
          <w:color w:val="2E74B5"/>
        </w:rPr>
        <w:t>M01-FR-021 — Error behavior</w:t>
      </w:r>
    </w:p>
    <w:p>
      <w:r>
        <w:t>Unknown tenant, unauthorized tenant, inactive tenant, registry inconsistency, invalid schema key, missing context, failed SET LOCAL, context mismatch, and reset failure shall be distinct internal error classes. External responses shall avoid revealing tenant existence or schema names.</w:t>
      </w:r>
    </w:p>
    <w:p>
      <w:pPr>
        <w:spacing w:after="100"/>
        <w:ind w:left="317"/>
      </w:pPr>
      <w:r>
        <w:rPr>
          <w:b/>
          <w:color w:val="16324F"/>
        </w:rPr>
        <w:t xml:space="preserve">Acceptance: </w:t>
      </w:r>
      <w:r>
        <w:t>Security-relevant failures produce sanitized logs and metrics while API responses remain non-enumerable.</w:t>
      </w:r>
    </w:p>
    <w:p>
      <w:pPr>
        <w:keepNext/>
        <w:spacing w:before="120" w:after="40"/>
      </w:pPr>
      <w:r>
        <w:rPr>
          <w:b/>
          <w:color w:val="2E74B5"/>
        </w:rPr>
        <w:t>M01-FR-022 — Audit correlation</w:t>
      </w:r>
    </w:p>
    <w:p>
      <w:r>
        <w:t>Every tenant transaction shall be correlatable to request_id or operation_id, tenant_id, actor/workload, service, deployment version, and outcome. SQL text, values, logs, traces, and error messages shall follow PHI-safe telemetry rules.</w:t>
      </w:r>
    </w:p>
    <w:p>
      <w:pPr>
        <w:spacing w:after="100"/>
        <w:ind w:left="317"/>
      </w:pPr>
      <w:r>
        <w:rPr>
          <w:b/>
          <w:color w:val="16324F"/>
        </w:rPr>
        <w:t xml:space="preserve">Acceptance: </w:t>
      </w:r>
      <w:r>
        <w:t>A support investigation can trace an operation without needing PHI in centralized telemetry.</w:t>
      </w:r>
    </w:p>
    <w:p>
      <w:pPr>
        <w:keepNext/>
        <w:spacing w:before="120" w:after="40"/>
      </w:pPr>
      <w:r>
        <w:rPr>
          <w:b/>
          <w:color w:val="2E74B5"/>
        </w:rPr>
        <w:t>M01-FR-023 — Isolation verification</w:t>
      </w:r>
    </w:p>
    <w:p>
      <w:r>
        <w:t>CI and pre-production suites shall include positive same-tenant tests and negative cross-tenant tests for reads, writes, joins, prepared statements, failures, retries, cancellations, pool reuse, parallel execution, support access, lifecycle states, and migration drift.</w:t>
      </w:r>
    </w:p>
    <w:p>
      <w:pPr>
        <w:spacing w:after="100"/>
        <w:ind w:left="317"/>
      </w:pPr>
      <w:r>
        <w:rPr>
          <w:b/>
          <w:color w:val="16324F"/>
        </w:rPr>
        <w:t xml:space="preserve">Acceptance: </w:t>
      </w:r>
      <w:r>
        <w:t>The security/privacy test gate blocks release on any unauthorized cross-tenant observation or mutation.</w:t>
      </w:r>
    </w:p>
    <w:p>
      <w:pPr>
        <w:keepNext/>
        <w:spacing w:before="120" w:after="40"/>
      </w:pPr>
      <w:r>
        <w:rPr>
          <w:b/>
          <w:color w:val="2E74B5"/>
        </w:rPr>
        <w:t>M01-FR-024 — Isolation review trigger</w:t>
      </w:r>
    </w:p>
    <w:p>
      <w:r>
        <w:t>The architecture shall be re-evaluated after a confirmed or suspected isolation incident, material audit finding, major database/pooling change, new cross-tenant use case, or reaching a scale threshold established from production-like load and isolation testing. Fifty active tenants is the provisional planning trigger until that evidence is available; it is not a settled capacity or security limit.</w:t>
      </w:r>
    </w:p>
    <w:p>
      <w:pPr>
        <w:spacing w:after="100"/>
        <w:ind w:left="317"/>
      </w:pPr>
      <w:r>
        <w:rPr>
          <w:b/>
          <w:color w:val="16324F"/>
        </w:rPr>
        <w:t xml:space="preserve">Acceptance: </w:t>
      </w:r>
      <w:r>
        <w:t>The trigger produces an owned architecture/security review considering per-tenant roles, RLS, databases, or stronger isolation, and the tenant-count trigger is updated from measured evidence before general availability.</w:t>
      </w:r>
    </w:p>
    <w:p>
      <w:pPr>
        <w:pStyle w:val="Heading1"/>
      </w:pPr>
      <w:r>
        <w:t>6. Data requirements</w:t>
      </w:r>
    </w:p>
    <w:p>
      <w:pPr>
        <w:pStyle w:val="Heading2"/>
      </w:pPr>
      <w:r>
        <w:t>6.1 Shared control records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900"/>
        <w:gridCol w:w="4700"/>
        <w:gridCol w:w="2760"/>
      </w:tblGrid>
      <w:tr>
        <w:trPr>
          <w:tblHeader w:val="true"/>
          <w:cantSplit w:val="true"/>
        </w:trPr>
        <w:tc>
          <w:tcPr>
            <w:tcW w:type="dxa" w:w="1900"/>
            <w:shd w:fill="E8EEF5"/>
            <w:tcMar>
              <w:top w:w="80" w:type="dxa"/>
              <w:start w:w="120" w:type="dxa"/>
              <w:bottom w:w="80" w:type="dxa"/>
              <w:end w:w="120" w:type="dxa"/>
            </w:tcMar>
            <w:vAlign w:val="center"/>
          </w:tcPr>
          <w:p>
            <w:r>
              <w:rPr>
                <w:b/>
                <w:color w:val="16324F"/>
                <w:sz w:val="18"/>
              </w:rPr>
              <w:t>Entity</w:t>
            </w:r>
          </w:p>
        </w:tc>
        <w:tc>
          <w:tcPr>
            <w:tcW w:type="dxa" w:w="4700"/>
            <w:shd w:fill="E8EEF5"/>
            <w:tcMar>
              <w:top w:w="80" w:type="dxa"/>
              <w:start w:w="120" w:type="dxa"/>
              <w:bottom w:w="80" w:type="dxa"/>
              <w:end w:w="120" w:type="dxa"/>
            </w:tcMar>
            <w:vAlign w:val="center"/>
          </w:tcPr>
          <w:p>
            <w:r>
              <w:rPr>
                <w:b/>
                <w:color w:val="16324F"/>
                <w:sz w:val="18"/>
              </w:rPr>
              <w:t>Minimum fields</w:t>
            </w:r>
          </w:p>
        </w:tc>
        <w:tc>
          <w:tcPr>
            <w:tcW w:type="dxa" w:w="2760"/>
            <w:shd w:fill="E8EEF5"/>
            <w:tcMar>
              <w:top w:w="80" w:type="dxa"/>
              <w:start w:w="120" w:type="dxa"/>
              <w:bottom w:w="80" w:type="dxa"/>
              <w:end w:w="120" w:type="dxa"/>
            </w:tcMar>
            <w:vAlign w:val="center"/>
          </w:tcPr>
          <w:p>
            <w:r>
              <w:rPr>
                <w:b/>
                <w:color w:val="16324F"/>
                <w:sz w:val="18"/>
              </w:rPr>
              <w:t>Constraints</w:t>
            </w:r>
          </w:p>
        </w:tc>
      </w:tr>
      <w:tr>
        <w:trPr>
          <w:cantSplit w:val="true"/>
        </w:trPr>
        <w:tc>
          <w:tcPr>
            <w:tcW w:type="dxa" w:w="1900"/>
            <w:tcMar>
              <w:top w:w="80" w:type="dxa"/>
              <w:start w:w="120" w:type="dxa"/>
              <w:bottom w:w="80" w:type="dxa"/>
              <w:end w:w="120" w:type="dxa"/>
            </w:tcMar>
            <w:vAlign w:val="center"/>
          </w:tcPr>
          <w:p>
            <w:pPr>
              <w:spacing w:after="40" w:line="252" w:lineRule="auto"/>
            </w:pPr>
            <w:r>
              <w:rPr>
                <w:color w:val="243746"/>
                <w:sz w:val="18"/>
              </w:rPr>
              <w:t>shared.tenants</w:t>
            </w:r>
          </w:p>
        </w:tc>
        <w:tc>
          <w:tcPr>
            <w:tcW w:type="dxa" w:w="4700"/>
            <w:tcMar>
              <w:top w:w="80" w:type="dxa"/>
              <w:start w:w="120" w:type="dxa"/>
              <w:bottom w:w="80" w:type="dxa"/>
              <w:end w:w="120" w:type="dxa"/>
            </w:tcMar>
            <w:vAlign w:val="center"/>
          </w:tcPr>
          <w:p>
            <w:pPr>
              <w:spacing w:after="40" w:line="252" w:lineRule="auto"/>
            </w:pPr>
            <w:r>
              <w:rPr>
                <w:color w:val="243746"/>
                <w:sz w:val="18"/>
              </w:rPr>
              <w:t>tenant_id, schema_key, display reference, lifecycle_state, schema_version, created/updated timestamps</w:t>
            </w:r>
          </w:p>
        </w:tc>
        <w:tc>
          <w:tcPr>
            <w:tcW w:type="dxa" w:w="2760"/>
            <w:tcMar>
              <w:top w:w="80" w:type="dxa"/>
              <w:start w:w="120" w:type="dxa"/>
              <w:bottom w:w="80" w:type="dxa"/>
              <w:end w:w="120" w:type="dxa"/>
            </w:tcMar>
            <w:vAlign w:val="center"/>
          </w:tcPr>
          <w:p>
            <w:pPr>
              <w:spacing w:after="40" w:line="252" w:lineRule="auto"/>
            </w:pPr>
            <w:r>
              <w:rPr>
                <w:color w:val="243746"/>
                <w:sz w:val="18"/>
              </w:rPr>
              <w:t>Existing inventory; tenant_id and schema_key unique; immutable identity; no clinical payload.</w:t>
            </w:r>
          </w:p>
        </w:tc>
      </w:tr>
      <w:tr>
        <w:trPr>
          <w:cantSplit w:val="true"/>
        </w:trPr>
        <w:tc>
          <w:tcPr>
            <w:tcW w:type="dxa" w:w="1900"/>
            <w:tcMar>
              <w:top w:w="80" w:type="dxa"/>
              <w:start w:w="120" w:type="dxa"/>
              <w:bottom w:w="80" w:type="dxa"/>
              <w:end w:w="120" w:type="dxa"/>
            </w:tcMar>
            <w:vAlign w:val="center"/>
          </w:tcPr>
          <w:p>
            <w:pPr>
              <w:spacing w:after="40" w:line="252" w:lineRule="auto"/>
            </w:pPr>
            <w:r>
              <w:rPr>
                <w:color w:val="243746"/>
                <w:sz w:val="18"/>
              </w:rPr>
              <w:t>shared.tenant_state_history</w:t>
            </w:r>
          </w:p>
        </w:tc>
        <w:tc>
          <w:tcPr>
            <w:tcW w:type="dxa" w:w="4700"/>
            <w:tcMar>
              <w:top w:w="80" w:type="dxa"/>
              <w:start w:w="120" w:type="dxa"/>
              <w:bottom w:w="80" w:type="dxa"/>
              <w:end w:w="120" w:type="dxa"/>
            </w:tcMar>
            <w:vAlign w:val="center"/>
          </w:tcPr>
          <w:p>
            <w:pPr>
              <w:spacing w:after="40" w:line="252" w:lineRule="auto"/>
            </w:pPr>
            <w:r>
              <w:rPr>
                <w:color w:val="243746"/>
                <w:sz w:val="18"/>
              </w:rPr>
              <w:t>event_id, tenant_id, prior/new state, reason code, actor, timestamp, correlation</w:t>
            </w:r>
          </w:p>
        </w:tc>
        <w:tc>
          <w:tcPr>
            <w:tcW w:type="dxa" w:w="2760"/>
            <w:tcMar>
              <w:top w:w="80" w:type="dxa"/>
              <w:start w:w="120" w:type="dxa"/>
              <w:bottom w:w="80" w:type="dxa"/>
              <w:end w:w="120" w:type="dxa"/>
            </w:tcMar>
            <w:vAlign w:val="center"/>
          </w:tcPr>
          <w:p>
            <w:pPr>
              <w:spacing w:after="40" w:line="252" w:lineRule="auto"/>
            </w:pPr>
            <w:r>
              <w:rPr>
                <w:color w:val="243746"/>
                <w:sz w:val="18"/>
              </w:rPr>
              <w:t>Proposed M01 addition; append-only; reason required.</w:t>
            </w:r>
          </w:p>
        </w:tc>
      </w:tr>
      <w:tr>
        <w:trPr>
          <w:cantSplit w:val="true"/>
        </w:trPr>
        <w:tc>
          <w:tcPr>
            <w:tcW w:type="dxa" w:w="1900"/>
            <w:tcMar>
              <w:top w:w="80" w:type="dxa"/>
              <w:start w:w="120" w:type="dxa"/>
              <w:bottom w:w="80" w:type="dxa"/>
              <w:end w:w="120" w:type="dxa"/>
            </w:tcMar>
            <w:vAlign w:val="center"/>
          </w:tcPr>
          <w:p>
            <w:pPr>
              <w:spacing w:after="40" w:line="252" w:lineRule="auto"/>
            </w:pPr>
            <w:r>
              <w:rPr>
                <w:color w:val="243746"/>
                <w:sz w:val="18"/>
              </w:rPr>
              <w:t>shared.schema_migrations</w:t>
            </w:r>
          </w:p>
        </w:tc>
        <w:tc>
          <w:tcPr>
            <w:tcW w:type="dxa" w:w="4700"/>
            <w:tcMar>
              <w:top w:w="80" w:type="dxa"/>
              <w:start w:w="120" w:type="dxa"/>
              <w:bottom w:w="80" w:type="dxa"/>
              <w:end w:w="120" w:type="dxa"/>
            </w:tcMar>
            <w:vAlign w:val="center"/>
          </w:tcPr>
          <w:p>
            <w:pPr>
              <w:spacing w:after="40" w:line="252" w:lineRule="auto"/>
            </w:pPr>
            <w:r>
              <w:rPr>
                <w:color w:val="243746"/>
                <w:sz w:val="18"/>
              </w:rPr>
              <w:t>tenant_id, migration_id, checksum, state, attempt, timestamps, error code</w:t>
            </w:r>
          </w:p>
        </w:tc>
        <w:tc>
          <w:tcPr>
            <w:tcW w:type="dxa" w:w="2760"/>
            <w:tcMar>
              <w:top w:w="80" w:type="dxa"/>
              <w:start w:w="120" w:type="dxa"/>
              <w:bottom w:w="80" w:type="dxa"/>
              <w:end w:w="120" w:type="dxa"/>
            </w:tcMar>
            <w:vAlign w:val="center"/>
          </w:tcPr>
          <w:p>
            <w:pPr>
              <w:spacing w:after="40" w:line="252" w:lineRule="auto"/>
            </w:pPr>
            <w:r>
              <w:rPr>
                <w:color w:val="243746"/>
                <w:sz w:val="18"/>
              </w:rPr>
              <w:t>Proposed M01 addition; unique tenant + migration; no raw sensitive error data.</w:t>
            </w:r>
          </w:p>
        </w:tc>
      </w:tr>
      <w:tr>
        <w:trPr>
          <w:cantSplit w:val="true"/>
        </w:trPr>
        <w:tc>
          <w:tcPr>
            <w:tcW w:type="dxa" w:w="1900"/>
            <w:tcMar>
              <w:top w:w="80" w:type="dxa"/>
              <w:start w:w="120" w:type="dxa"/>
              <w:bottom w:w="80" w:type="dxa"/>
              <w:end w:w="120" w:type="dxa"/>
            </w:tcMar>
            <w:vAlign w:val="center"/>
          </w:tcPr>
          <w:p>
            <w:pPr>
              <w:spacing w:after="40" w:line="252" w:lineRule="auto"/>
            </w:pPr>
            <w:r>
              <w:rPr>
                <w:color w:val="243746"/>
                <w:sz w:val="18"/>
              </w:rPr>
              <w:t>shared.support_access_grants</w:t>
            </w:r>
          </w:p>
        </w:tc>
        <w:tc>
          <w:tcPr>
            <w:tcW w:type="dxa" w:w="4700"/>
            <w:tcMar>
              <w:top w:w="80" w:type="dxa"/>
              <w:start w:w="120" w:type="dxa"/>
              <w:bottom w:w="80" w:type="dxa"/>
              <w:end w:w="120" w:type="dxa"/>
            </w:tcMar>
            <w:vAlign w:val="center"/>
          </w:tcPr>
          <w:p>
            <w:pPr>
              <w:spacing w:after="40" w:line="252" w:lineRule="auto"/>
            </w:pPr>
            <w:r>
              <w:rPr>
                <w:color w:val="243746"/>
                <w:sz w:val="18"/>
              </w:rPr>
              <w:t>grant_id, actor, tenant_id, ticket, purpose, capabilities, approver, start/expiry, state</w:t>
            </w:r>
          </w:p>
        </w:tc>
        <w:tc>
          <w:tcPr>
            <w:tcW w:type="dxa" w:w="2760"/>
            <w:tcMar>
              <w:top w:w="80" w:type="dxa"/>
              <w:start w:w="120" w:type="dxa"/>
              <w:bottom w:w="80" w:type="dxa"/>
              <w:end w:w="120" w:type="dxa"/>
            </w:tcMar>
            <w:vAlign w:val="center"/>
          </w:tcPr>
          <w:p>
            <w:pPr>
              <w:spacing w:after="40" w:line="252" w:lineRule="auto"/>
            </w:pPr>
            <w:r>
              <w:rPr>
                <w:color w:val="243746"/>
                <w:sz w:val="18"/>
              </w:rPr>
              <w:t>Proposed M01 addition; time-bounded; immutable approved scope.</w:t>
            </w:r>
          </w:p>
        </w:tc>
      </w:tr>
      <w:tr>
        <w:trPr>
          <w:cantSplit w:val="true"/>
        </w:trPr>
        <w:tc>
          <w:tcPr>
            <w:tcW w:type="dxa" w:w="1900"/>
            <w:tcMar>
              <w:top w:w="80" w:type="dxa"/>
              <w:start w:w="120" w:type="dxa"/>
              <w:bottom w:w="80" w:type="dxa"/>
              <w:end w:w="120" w:type="dxa"/>
            </w:tcMar>
            <w:vAlign w:val="center"/>
          </w:tcPr>
          <w:p>
            <w:pPr>
              <w:spacing w:after="40" w:line="252" w:lineRule="auto"/>
            </w:pPr>
            <w:r>
              <w:rPr>
                <w:color w:val="243746"/>
                <w:sz w:val="18"/>
              </w:rPr>
              <w:t>shared.access_audit_log</w:t>
            </w:r>
          </w:p>
        </w:tc>
        <w:tc>
          <w:tcPr>
            <w:tcW w:type="dxa" w:w="4700"/>
            <w:tcMar>
              <w:top w:w="80" w:type="dxa"/>
              <w:start w:w="120" w:type="dxa"/>
              <w:bottom w:w="80" w:type="dxa"/>
              <w:end w:w="120" w:type="dxa"/>
            </w:tcMar>
            <w:vAlign w:val="center"/>
          </w:tcPr>
          <w:p>
            <w:pPr>
              <w:spacing w:after="40" w:line="252" w:lineRule="auto"/>
            </w:pPr>
            <w:r>
              <w:rPr>
                <w:color w:val="243746"/>
                <w:sz w:val="18"/>
              </w:rPr>
              <w:t>audit_id, actor/workload, tenant_id, action/resource class, purpose, outcome, correlation, time</w:t>
            </w:r>
          </w:p>
        </w:tc>
        <w:tc>
          <w:tcPr>
            <w:tcW w:type="dxa" w:w="2760"/>
            <w:tcMar>
              <w:top w:w="80" w:type="dxa"/>
              <w:start w:w="120" w:type="dxa"/>
              <w:bottom w:w="80" w:type="dxa"/>
              <w:end w:w="120" w:type="dxa"/>
            </w:tcMar>
            <w:vAlign w:val="center"/>
          </w:tcPr>
          <w:p>
            <w:pPr>
              <w:spacing w:after="40" w:line="252" w:lineRule="auto"/>
            </w:pPr>
            <w:r>
              <w:rPr>
                <w:color w:val="243746"/>
                <w:sz w:val="18"/>
              </w:rPr>
              <w:t>Existing inventory name; append-only; runtime cannot update/delete.</w:t>
            </w:r>
          </w:p>
        </w:tc>
      </w:tr>
      <w:tr>
        <w:trPr>
          <w:cantSplit w:val="true"/>
        </w:trPr>
        <w:tc>
          <w:tcPr>
            <w:tcW w:type="dxa" w:w="1900"/>
            <w:tcMar>
              <w:top w:w="80" w:type="dxa"/>
              <w:start w:w="120" w:type="dxa"/>
              <w:bottom w:w="80" w:type="dxa"/>
              <w:end w:w="120" w:type="dxa"/>
            </w:tcMar>
            <w:vAlign w:val="center"/>
          </w:tcPr>
          <w:p>
            <w:pPr>
              <w:spacing w:after="40" w:line="252" w:lineRule="auto"/>
            </w:pPr>
            <w:r>
              <w:rPr>
                <w:color w:val="243746"/>
                <w:sz w:val="18"/>
              </w:rPr>
              <w:t>shared.isolation_alerts</w:t>
            </w:r>
          </w:p>
        </w:tc>
        <w:tc>
          <w:tcPr>
            <w:tcW w:type="dxa" w:w="4700"/>
            <w:tcMar>
              <w:top w:w="80" w:type="dxa"/>
              <w:start w:w="120" w:type="dxa"/>
              <w:bottom w:w="80" w:type="dxa"/>
              <w:end w:w="120" w:type="dxa"/>
            </w:tcMar>
            <w:vAlign w:val="center"/>
          </w:tcPr>
          <w:p>
            <w:pPr>
              <w:spacing w:after="40" w:line="252" w:lineRule="auto"/>
            </w:pPr>
            <w:r>
              <w:rPr>
                <w:color w:val="243746"/>
                <w:sz w:val="18"/>
              </w:rPr>
              <w:t>alert_id, tenant_id if known, source, type, severity, correlation, state, timestamps</w:t>
            </w:r>
          </w:p>
        </w:tc>
        <w:tc>
          <w:tcPr>
            <w:tcW w:type="dxa" w:w="2760"/>
            <w:tcMar>
              <w:top w:w="80" w:type="dxa"/>
              <w:start w:w="120" w:type="dxa"/>
              <w:bottom w:w="80" w:type="dxa"/>
              <w:end w:w="120" w:type="dxa"/>
            </w:tcMar>
            <w:vAlign w:val="center"/>
          </w:tcPr>
          <w:p>
            <w:pPr>
              <w:spacing w:after="40" w:line="252" w:lineRule="auto"/>
            </w:pPr>
            <w:r>
              <w:rPr>
                <w:color w:val="243746"/>
                <w:sz w:val="18"/>
              </w:rPr>
              <w:t>Proposed M01 addition; no PHI; security-owned workflow.</w:t>
            </w:r>
          </w:p>
        </w:tc>
      </w:tr>
    </w:tbl>
    <w:p>
      <w:pPr>
        <w:spacing w:after="40"/>
      </w:pPr>
    </w:p>
    <w:p>
      <w:pPr>
        <w:pStyle w:val="Heading2"/>
      </w:pPr>
      <w:r>
        <w:t>6.2 Tenant schema baseline</w:t>
      </w:r>
    </w:p>
    <w:p>
      <w:r>
        <w:t>M01 defines placement and schema-governance rules, not the complete business model. Each tenant schema shall carry a schema-version marker and the common infrastructure required by dependent modules. Expected categories include tenant configuration, tenant payers, patient events, messaging/fax logs, work and error queues with history, jobs/runs/recipient operations, and consent events. All tenant schemas shall be produced from the same approved migration set; tenant-specific DDL forks are prohibited unless governed as a platform feature.</w:t>
      </w:r>
    </w:p>
    <w:p>
      <w:pPr>
        <w:pStyle w:val="Heading2"/>
      </w:pPr>
      <w:r>
        <w:t>6.3 Identifier and naming rules</w:t>
      </w:r>
    </w:p>
    <w:p>
      <w:pPr>
        <w:pStyle w:val="ListBullet"/>
      </w:pPr>
      <w:r>
        <w:t>tenant_id shall be opaque and immutable; it shall not encode a clinic name or PHI.</w:t>
      </w:r>
    </w:p>
    <w:p>
      <w:pPr>
        <w:pStyle w:val="ListBullet"/>
      </w:pPr>
      <w:r>
        <w:t>schema_key shall follow a strict allowlist such as ^tenant_[a-z0-9]{8,32}$ and shall still be quoted as an identifier by the database driver.</w:t>
      </w:r>
    </w:p>
    <w:p>
      <w:pPr>
        <w:pStyle w:val="ListBullet"/>
      </w:pPr>
      <w:r>
        <w:t>External identifiers shall not be used as schema names.</w:t>
      </w:r>
    </w:p>
    <w:p>
      <w:pPr>
        <w:pStyle w:val="ListBullet"/>
      </w:pPr>
      <w:r>
        <w:t>Object names and keys shall not contain PHI; tenant identifiers in telemetry must follow the approved pseudonymous representation.</w:t>
      </w:r>
    </w:p>
    <w:p>
      <w:pPr>
        <w:pStyle w:val="ListBullet"/>
      </w:pPr>
      <w:r>
        <w:t>All timestamps shall be UTC with timezone semantics; business timezone belongs to tenant configuration.</w:t>
      </w:r>
    </w:p>
    <w:p>
      <w:pPr>
        <w:pStyle w:val="Heading1"/>
      </w:pPr>
      <w:r>
        <w:t>7. Required interfaces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600"/>
        <w:gridCol w:w="6760"/>
      </w:tblGrid>
      <w:tr>
        <w:trPr>
          <w:tblHeader w:val="true"/>
          <w:cantSplit w:val="true"/>
        </w:trPr>
        <w:tc>
          <w:tcPr>
            <w:tcW w:type="dxa" w:w="2600"/>
            <w:shd w:fill="E8EEF5"/>
            <w:tcMar>
              <w:top w:w="80" w:type="dxa"/>
              <w:start w:w="120" w:type="dxa"/>
              <w:bottom w:w="80" w:type="dxa"/>
              <w:end w:w="120" w:type="dxa"/>
            </w:tcMar>
            <w:vAlign w:val="center"/>
          </w:tcPr>
          <w:p>
            <w:r>
              <w:rPr>
                <w:b/>
                <w:color w:val="16324F"/>
                <w:sz w:val="18"/>
              </w:rPr>
              <w:t>Interface</w:t>
            </w:r>
          </w:p>
        </w:tc>
        <w:tc>
          <w:tcPr>
            <w:tcW w:type="dxa" w:w="6760"/>
            <w:shd w:fill="E8EEF5"/>
            <w:tcMar>
              <w:top w:w="80" w:type="dxa"/>
              <w:start w:w="120" w:type="dxa"/>
              <w:bottom w:w="80" w:type="dxa"/>
              <w:end w:w="120" w:type="dxa"/>
            </w:tcMar>
            <w:vAlign w:val="center"/>
          </w:tcPr>
          <w:p>
            <w:r>
              <w:rPr>
                <w:b/>
                <w:color w:val="16324F"/>
                <w:sz w:val="18"/>
              </w:rPr>
              <w:t>Contract</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resolveTenant(subject/workload, tenant_hint, purpose)</w:t>
            </w:r>
          </w:p>
        </w:tc>
        <w:tc>
          <w:tcPr>
            <w:tcW w:type="dxa" w:w="6760"/>
            <w:tcMar>
              <w:top w:w="80" w:type="dxa"/>
              <w:start w:w="120" w:type="dxa"/>
              <w:bottom w:w="80" w:type="dxa"/>
              <w:end w:w="120" w:type="dxa"/>
            </w:tcMar>
            <w:vAlign w:val="center"/>
          </w:tcPr>
          <w:p>
            <w:pPr>
              <w:spacing w:after="40" w:line="252" w:lineRule="auto"/>
            </w:pPr>
            <w:r>
              <w:rPr>
                <w:color w:val="243746"/>
                <w:sz w:val="18"/>
              </w:rPr>
              <w:t>Returns authorized tenant_id and registry-derived schema_key or a non-enumerable denial. Records authorization basis and correlation.</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withTenantTransaction(context, callback, options)</w:t>
            </w:r>
          </w:p>
        </w:tc>
        <w:tc>
          <w:tcPr>
            <w:tcW w:type="dxa" w:w="6760"/>
            <w:tcMar>
              <w:top w:w="80" w:type="dxa"/>
              <w:start w:w="120" w:type="dxa"/>
              <w:bottom w:w="80" w:type="dxa"/>
              <w:end w:w="120" w:type="dxa"/>
            </w:tcMar>
            <w:vAlign w:val="center"/>
          </w:tcPr>
          <w:p>
            <w:pPr>
              <w:spacing w:after="40" w:line="252" w:lineRule="auto"/>
            </w:pPr>
            <w:r>
              <w:rPr>
                <w:color w:val="243746"/>
                <w:sz w:val="18"/>
              </w:rPr>
              <w:t>Validates context; checks lifecycle; obtains clean connection; begins transaction; executes SET LOCAL; verifies routing; invokes callback; commits/rolls back; resets/discards connection.</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assertTenantContext(expected_tenant_id)</w:t>
            </w:r>
          </w:p>
        </w:tc>
        <w:tc>
          <w:tcPr>
            <w:tcW w:type="dxa" w:w="6760"/>
            <w:tcMar>
              <w:top w:w="80" w:type="dxa"/>
              <w:start w:w="120" w:type="dxa"/>
              <w:bottom w:w="80" w:type="dxa"/>
              <w:end w:w="120" w:type="dxa"/>
            </w:tcMar>
            <w:vAlign w:val="center"/>
          </w:tcPr>
          <w:p>
            <w:pPr>
              <w:spacing w:after="40" w:line="252" w:lineRule="auto"/>
            </w:pPr>
            <w:r>
              <w:rPr>
                <w:color w:val="243746"/>
                <w:sz w:val="18"/>
              </w:rPr>
              <w:t>Fails before data access when work record, route, and authenticated context disagree.</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requestSupportAccess(actor, tenant_id, ticket, purpose, capabilities, duration)</w:t>
            </w:r>
          </w:p>
        </w:tc>
        <w:tc>
          <w:tcPr>
            <w:tcW w:type="dxa" w:w="6760"/>
            <w:tcMar>
              <w:top w:w="80" w:type="dxa"/>
              <w:start w:w="120" w:type="dxa"/>
              <w:bottom w:w="80" w:type="dxa"/>
              <w:end w:w="120" w:type="dxa"/>
            </w:tcMar>
            <w:vAlign w:val="center"/>
          </w:tcPr>
          <w:p>
            <w:pPr>
              <w:spacing w:after="40" w:line="252" w:lineRule="auto"/>
            </w:pPr>
            <w:r>
              <w:rPr>
                <w:color w:val="243746"/>
                <w:sz w:val="18"/>
              </w:rPr>
              <w:t>Creates approval workflow or bounded grant; never returns a raw schema credential.</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recordAccessAudit(event)</w:t>
            </w:r>
          </w:p>
        </w:tc>
        <w:tc>
          <w:tcPr>
            <w:tcW w:type="dxa" w:w="6760"/>
            <w:tcMar>
              <w:top w:w="80" w:type="dxa"/>
              <w:start w:w="120" w:type="dxa"/>
              <w:bottom w:w="80" w:type="dxa"/>
              <w:end w:w="120" w:type="dxa"/>
            </w:tcMar>
            <w:vAlign w:val="center"/>
          </w:tcPr>
          <w:p>
            <w:pPr>
              <w:spacing w:after="40" w:line="252" w:lineRule="auto"/>
            </w:pPr>
            <w:r>
              <w:rPr>
                <w:color w:val="243746"/>
                <w:sz w:val="18"/>
              </w:rPr>
              <w:t>Append-only, structured event with controlled vocabulary and PHI-safe details.</w:t>
            </w:r>
          </w:p>
        </w:tc>
      </w:tr>
      <w:tr>
        <w:trPr>
          <w:cantSplit w:val="true"/>
        </w:trPr>
        <w:tc>
          <w:tcPr>
            <w:tcW w:type="dxa" w:w="2600"/>
            <w:tcMar>
              <w:top w:w="80" w:type="dxa"/>
              <w:start w:w="120" w:type="dxa"/>
              <w:bottom w:w="80" w:type="dxa"/>
              <w:end w:w="120" w:type="dxa"/>
            </w:tcMar>
            <w:vAlign w:val="center"/>
          </w:tcPr>
          <w:p>
            <w:pPr>
              <w:spacing w:after="40" w:line="252" w:lineRule="auto"/>
            </w:pPr>
            <w:r>
              <w:rPr>
                <w:color w:val="243746"/>
                <w:sz w:val="18"/>
              </w:rPr>
              <w:t>getTenantSchemaVersion(tenant_id)</w:t>
            </w:r>
          </w:p>
        </w:tc>
        <w:tc>
          <w:tcPr>
            <w:tcW w:type="dxa" w:w="6760"/>
            <w:tcMar>
              <w:top w:w="80" w:type="dxa"/>
              <w:start w:w="120" w:type="dxa"/>
              <w:bottom w:w="80" w:type="dxa"/>
              <w:end w:w="120" w:type="dxa"/>
            </w:tcMar>
            <w:vAlign w:val="center"/>
          </w:tcPr>
          <w:p>
            <w:pPr>
              <w:spacing w:after="40" w:line="252" w:lineRule="auto"/>
            </w:pPr>
            <w:r>
              <w:rPr>
                <w:color w:val="243746"/>
                <w:sz w:val="18"/>
              </w:rPr>
              <w:t>Returns registry and physical version status for deployment/migration gating.</w:t>
            </w:r>
          </w:p>
        </w:tc>
      </w:tr>
    </w:tbl>
    <w:p>
      <w:pPr>
        <w:spacing w:after="40"/>
      </w:pPr>
    </w:p>
    <w:p>
      <w:pPr>
        <w:pStyle w:val="Heading2"/>
      </w:pPr>
      <w:r>
        <w:t>7.1 Context object</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400"/>
        <w:gridCol w:w="1300"/>
        <w:gridCol w:w="5660"/>
      </w:tblGrid>
      <w:tr>
        <w:trPr>
          <w:tblHeader w:val="true"/>
          <w:cantSplit w:val="true"/>
        </w:trPr>
        <w:tc>
          <w:tcPr>
            <w:tcW w:type="dxa" w:w="2400"/>
            <w:shd w:fill="E8EEF5"/>
            <w:tcMar>
              <w:top w:w="80" w:type="dxa"/>
              <w:start w:w="120" w:type="dxa"/>
              <w:bottom w:w="80" w:type="dxa"/>
              <w:end w:w="120" w:type="dxa"/>
            </w:tcMar>
            <w:vAlign w:val="center"/>
          </w:tcPr>
          <w:p>
            <w:r>
              <w:rPr>
                <w:b/>
                <w:color w:val="16324F"/>
                <w:sz w:val="18"/>
              </w:rPr>
              <w:t>Field</w:t>
            </w:r>
          </w:p>
        </w:tc>
        <w:tc>
          <w:tcPr>
            <w:tcW w:type="dxa" w:w="1300"/>
            <w:shd w:fill="E8EEF5"/>
            <w:tcMar>
              <w:top w:w="80" w:type="dxa"/>
              <w:start w:w="120" w:type="dxa"/>
              <w:bottom w:w="80" w:type="dxa"/>
              <w:end w:w="120" w:type="dxa"/>
            </w:tcMar>
            <w:vAlign w:val="center"/>
          </w:tcPr>
          <w:p>
            <w:r>
              <w:rPr>
                <w:b/>
                <w:color w:val="16324F"/>
                <w:sz w:val="18"/>
              </w:rPr>
              <w:t>Required</w:t>
            </w:r>
          </w:p>
        </w:tc>
        <w:tc>
          <w:tcPr>
            <w:tcW w:type="dxa" w:w="5660"/>
            <w:shd w:fill="E8EEF5"/>
            <w:tcMar>
              <w:top w:w="80" w:type="dxa"/>
              <w:start w:w="120" w:type="dxa"/>
              <w:bottom w:w="80" w:type="dxa"/>
              <w:end w:w="120" w:type="dxa"/>
            </w:tcMar>
            <w:vAlign w:val="center"/>
          </w:tcPr>
          <w:p>
            <w:r>
              <w:rPr>
                <w:b/>
                <w:color w:val="16324F"/>
                <w:sz w:val="18"/>
              </w:rPr>
              <w:t>Rule</w:t>
            </w:r>
          </w:p>
        </w:tc>
      </w:tr>
      <w:tr>
        <w:trPr>
          <w:cantSplit w:val="true"/>
        </w:trPr>
        <w:tc>
          <w:tcPr>
            <w:tcW w:type="dxa" w:w="2400"/>
            <w:tcMar>
              <w:top w:w="80" w:type="dxa"/>
              <w:start w:w="120" w:type="dxa"/>
              <w:bottom w:w="80" w:type="dxa"/>
              <w:end w:w="120" w:type="dxa"/>
            </w:tcMar>
            <w:vAlign w:val="center"/>
          </w:tcPr>
          <w:p>
            <w:pPr>
              <w:spacing w:after="40" w:line="252" w:lineRule="auto"/>
            </w:pPr>
            <w:r>
              <w:rPr>
                <w:color w:val="243746"/>
                <w:sz w:val="18"/>
              </w:rPr>
              <w:t>tenant_id</w:t>
            </w:r>
          </w:p>
        </w:tc>
        <w:tc>
          <w:tcPr>
            <w:tcW w:type="dxa" w:w="1300"/>
            <w:tcMar>
              <w:top w:w="80" w:type="dxa"/>
              <w:start w:w="120" w:type="dxa"/>
              <w:bottom w:w="80" w:type="dxa"/>
              <w:end w:w="120" w:type="dxa"/>
            </w:tcMar>
            <w:vAlign w:val="center"/>
          </w:tcPr>
          <w:p>
            <w:pPr>
              <w:spacing w:after="40" w:line="252" w:lineRule="auto"/>
            </w:pPr>
            <w:r>
              <w:rPr>
                <w:color w:val="243746"/>
                <w:sz w:val="18"/>
              </w:rPr>
              <w:t>Yes</w:t>
            </w:r>
          </w:p>
        </w:tc>
        <w:tc>
          <w:tcPr>
            <w:tcW w:type="dxa" w:w="5660"/>
            <w:tcMar>
              <w:top w:w="80" w:type="dxa"/>
              <w:start w:w="120" w:type="dxa"/>
              <w:bottom w:w="80" w:type="dxa"/>
              <w:end w:w="120" w:type="dxa"/>
            </w:tcMar>
            <w:vAlign w:val="center"/>
          </w:tcPr>
          <w:p>
            <w:pPr>
              <w:spacing w:after="40" w:line="252" w:lineRule="auto"/>
            </w:pPr>
            <w:r>
              <w:rPr>
                <w:color w:val="243746"/>
                <w:sz w:val="18"/>
              </w:rPr>
              <w:t>Registry identity; immutable for the unit of work.</w:t>
            </w:r>
          </w:p>
        </w:tc>
      </w:tr>
      <w:tr>
        <w:trPr>
          <w:cantSplit w:val="true"/>
        </w:trPr>
        <w:tc>
          <w:tcPr>
            <w:tcW w:type="dxa" w:w="2400"/>
            <w:tcMar>
              <w:top w:w="80" w:type="dxa"/>
              <w:start w:w="120" w:type="dxa"/>
              <w:bottom w:w="80" w:type="dxa"/>
              <w:end w:w="120" w:type="dxa"/>
            </w:tcMar>
            <w:vAlign w:val="center"/>
          </w:tcPr>
          <w:p>
            <w:pPr>
              <w:spacing w:after="40" w:line="252" w:lineRule="auto"/>
            </w:pPr>
            <w:r>
              <w:rPr>
                <w:color w:val="243746"/>
                <w:sz w:val="18"/>
              </w:rPr>
              <w:t>schema_key</w:t>
            </w:r>
          </w:p>
        </w:tc>
        <w:tc>
          <w:tcPr>
            <w:tcW w:type="dxa" w:w="1300"/>
            <w:tcMar>
              <w:top w:w="80" w:type="dxa"/>
              <w:start w:w="120" w:type="dxa"/>
              <w:bottom w:w="80" w:type="dxa"/>
              <w:end w:w="120" w:type="dxa"/>
            </w:tcMar>
            <w:vAlign w:val="center"/>
          </w:tcPr>
          <w:p>
            <w:pPr>
              <w:spacing w:after="40" w:line="252" w:lineRule="auto"/>
            </w:pPr>
            <w:r>
              <w:rPr>
                <w:color w:val="243746"/>
                <w:sz w:val="18"/>
              </w:rPr>
              <w:t>Yes internally</w:t>
            </w:r>
          </w:p>
        </w:tc>
        <w:tc>
          <w:tcPr>
            <w:tcW w:type="dxa" w:w="5660"/>
            <w:tcMar>
              <w:top w:w="80" w:type="dxa"/>
              <w:start w:w="120" w:type="dxa"/>
              <w:bottom w:w="80" w:type="dxa"/>
              <w:end w:w="120" w:type="dxa"/>
            </w:tcMar>
            <w:vAlign w:val="center"/>
          </w:tcPr>
          <w:p>
            <w:pPr>
              <w:spacing w:after="40" w:line="252" w:lineRule="auto"/>
            </w:pPr>
            <w:r>
              <w:rPr>
                <w:color w:val="243746"/>
                <w:sz w:val="18"/>
              </w:rPr>
              <w:t>Populated only from shared.tenants; never trusted from transport.</w:t>
            </w:r>
          </w:p>
        </w:tc>
      </w:tr>
      <w:tr>
        <w:trPr>
          <w:cantSplit w:val="true"/>
        </w:trPr>
        <w:tc>
          <w:tcPr>
            <w:tcW w:type="dxa" w:w="2400"/>
            <w:tcMar>
              <w:top w:w="80" w:type="dxa"/>
              <w:start w:w="120" w:type="dxa"/>
              <w:bottom w:w="80" w:type="dxa"/>
              <w:end w:w="120" w:type="dxa"/>
            </w:tcMar>
            <w:vAlign w:val="center"/>
          </w:tcPr>
          <w:p>
            <w:pPr>
              <w:spacing w:after="40" w:line="252" w:lineRule="auto"/>
            </w:pPr>
            <w:r>
              <w:rPr>
                <w:color w:val="243746"/>
                <w:sz w:val="18"/>
              </w:rPr>
              <w:t>actor_id or workload_id</w:t>
            </w:r>
          </w:p>
        </w:tc>
        <w:tc>
          <w:tcPr>
            <w:tcW w:type="dxa" w:w="1300"/>
            <w:tcMar>
              <w:top w:w="80" w:type="dxa"/>
              <w:start w:w="120" w:type="dxa"/>
              <w:bottom w:w="80" w:type="dxa"/>
              <w:end w:w="120" w:type="dxa"/>
            </w:tcMar>
            <w:vAlign w:val="center"/>
          </w:tcPr>
          <w:p>
            <w:pPr>
              <w:spacing w:after="40" w:line="252" w:lineRule="auto"/>
            </w:pPr>
            <w:r>
              <w:rPr>
                <w:color w:val="243746"/>
                <w:sz w:val="18"/>
              </w:rPr>
              <w:t>Yes</w:t>
            </w:r>
          </w:p>
        </w:tc>
        <w:tc>
          <w:tcPr>
            <w:tcW w:type="dxa" w:w="5660"/>
            <w:tcMar>
              <w:top w:w="80" w:type="dxa"/>
              <w:start w:w="120" w:type="dxa"/>
              <w:bottom w:w="80" w:type="dxa"/>
              <w:end w:w="120" w:type="dxa"/>
            </w:tcMar>
            <w:vAlign w:val="center"/>
          </w:tcPr>
          <w:p>
            <w:pPr>
              <w:spacing w:after="40" w:line="252" w:lineRule="auto"/>
            </w:pPr>
            <w:r>
              <w:rPr>
                <w:color w:val="243746"/>
                <w:sz w:val="18"/>
              </w:rPr>
              <w:t>One must identify the accountable principal.</w:t>
            </w:r>
          </w:p>
        </w:tc>
      </w:tr>
      <w:tr>
        <w:trPr>
          <w:cantSplit w:val="true"/>
        </w:trPr>
        <w:tc>
          <w:tcPr>
            <w:tcW w:type="dxa" w:w="2400"/>
            <w:tcMar>
              <w:top w:w="80" w:type="dxa"/>
              <w:start w:w="120" w:type="dxa"/>
              <w:bottom w:w="80" w:type="dxa"/>
              <w:end w:w="120" w:type="dxa"/>
            </w:tcMar>
            <w:vAlign w:val="center"/>
          </w:tcPr>
          <w:p>
            <w:pPr>
              <w:spacing w:after="40" w:line="252" w:lineRule="auto"/>
            </w:pPr>
            <w:r>
              <w:rPr>
                <w:color w:val="243746"/>
                <w:sz w:val="18"/>
              </w:rPr>
              <w:t>capabilities</w:t>
            </w:r>
          </w:p>
        </w:tc>
        <w:tc>
          <w:tcPr>
            <w:tcW w:type="dxa" w:w="1300"/>
            <w:tcMar>
              <w:top w:w="80" w:type="dxa"/>
              <w:start w:w="120" w:type="dxa"/>
              <w:bottom w:w="80" w:type="dxa"/>
              <w:end w:w="120" w:type="dxa"/>
            </w:tcMar>
            <w:vAlign w:val="center"/>
          </w:tcPr>
          <w:p>
            <w:pPr>
              <w:spacing w:after="40" w:line="252" w:lineRule="auto"/>
            </w:pPr>
            <w:r>
              <w:rPr>
                <w:color w:val="243746"/>
                <w:sz w:val="18"/>
              </w:rPr>
              <w:t>Yes</w:t>
            </w:r>
          </w:p>
        </w:tc>
        <w:tc>
          <w:tcPr>
            <w:tcW w:type="dxa" w:w="5660"/>
            <w:tcMar>
              <w:top w:w="80" w:type="dxa"/>
              <w:start w:w="120" w:type="dxa"/>
              <w:bottom w:w="80" w:type="dxa"/>
              <w:end w:w="120" w:type="dxa"/>
            </w:tcMar>
            <w:vAlign w:val="center"/>
          </w:tcPr>
          <w:p>
            <w:pPr>
              <w:spacing w:after="40" w:line="252" w:lineRule="auto"/>
            </w:pPr>
            <w:r>
              <w:rPr>
                <w:color w:val="243746"/>
                <w:sz w:val="18"/>
              </w:rPr>
              <w:t>Least-privilege action set after authorization.</w:t>
            </w:r>
          </w:p>
        </w:tc>
      </w:tr>
      <w:tr>
        <w:trPr>
          <w:cantSplit w:val="true"/>
        </w:trPr>
        <w:tc>
          <w:tcPr>
            <w:tcW w:type="dxa" w:w="2400"/>
            <w:tcMar>
              <w:top w:w="80" w:type="dxa"/>
              <w:start w:w="120" w:type="dxa"/>
              <w:bottom w:w="80" w:type="dxa"/>
              <w:end w:w="120" w:type="dxa"/>
            </w:tcMar>
            <w:vAlign w:val="center"/>
          </w:tcPr>
          <w:p>
            <w:pPr>
              <w:spacing w:after="40" w:line="252" w:lineRule="auto"/>
            </w:pPr>
            <w:r>
              <w:rPr>
                <w:color w:val="243746"/>
                <w:sz w:val="18"/>
              </w:rPr>
              <w:t>purpose</w:t>
            </w:r>
          </w:p>
        </w:tc>
        <w:tc>
          <w:tcPr>
            <w:tcW w:type="dxa" w:w="1300"/>
            <w:tcMar>
              <w:top w:w="80" w:type="dxa"/>
              <w:start w:w="120" w:type="dxa"/>
              <w:bottom w:w="80" w:type="dxa"/>
              <w:end w:w="120" w:type="dxa"/>
            </w:tcMar>
            <w:vAlign w:val="center"/>
          </w:tcPr>
          <w:p>
            <w:pPr>
              <w:spacing w:after="40" w:line="252" w:lineRule="auto"/>
            </w:pPr>
            <w:r>
              <w:rPr>
                <w:color w:val="243746"/>
                <w:sz w:val="18"/>
              </w:rPr>
              <w:t>Yes</w:t>
            </w:r>
          </w:p>
        </w:tc>
        <w:tc>
          <w:tcPr>
            <w:tcW w:type="dxa" w:w="5660"/>
            <w:tcMar>
              <w:top w:w="80" w:type="dxa"/>
              <w:start w:w="120" w:type="dxa"/>
              <w:bottom w:w="80" w:type="dxa"/>
              <w:end w:w="120" w:type="dxa"/>
            </w:tcMar>
            <w:vAlign w:val="center"/>
          </w:tcPr>
          <w:p>
            <w:pPr>
              <w:spacing w:after="40" w:line="252" w:lineRule="auto"/>
            </w:pPr>
            <w:r>
              <w:rPr>
                <w:color w:val="243746"/>
                <w:sz w:val="18"/>
              </w:rPr>
              <w:t>Controlled purpose code; support also requires ticket.</w:t>
            </w:r>
          </w:p>
        </w:tc>
      </w:tr>
      <w:tr>
        <w:trPr>
          <w:cantSplit w:val="true"/>
        </w:trPr>
        <w:tc>
          <w:tcPr>
            <w:tcW w:type="dxa" w:w="2400"/>
            <w:tcMar>
              <w:top w:w="80" w:type="dxa"/>
              <w:start w:w="120" w:type="dxa"/>
              <w:bottom w:w="80" w:type="dxa"/>
              <w:end w:w="120" w:type="dxa"/>
            </w:tcMar>
            <w:vAlign w:val="center"/>
          </w:tcPr>
          <w:p>
            <w:pPr>
              <w:spacing w:after="40" w:line="252" w:lineRule="auto"/>
            </w:pPr>
            <w:r>
              <w:rPr>
                <w:color w:val="243746"/>
                <w:sz w:val="18"/>
              </w:rPr>
              <w:t>request_id / operation_id</w:t>
            </w:r>
          </w:p>
        </w:tc>
        <w:tc>
          <w:tcPr>
            <w:tcW w:type="dxa" w:w="1300"/>
            <w:tcMar>
              <w:top w:w="80" w:type="dxa"/>
              <w:start w:w="120" w:type="dxa"/>
              <w:bottom w:w="80" w:type="dxa"/>
              <w:end w:w="120" w:type="dxa"/>
            </w:tcMar>
            <w:vAlign w:val="center"/>
          </w:tcPr>
          <w:p>
            <w:pPr>
              <w:spacing w:after="40" w:line="252" w:lineRule="auto"/>
            </w:pPr>
            <w:r>
              <w:rPr>
                <w:color w:val="243746"/>
                <w:sz w:val="18"/>
              </w:rPr>
              <w:t>Yes</w:t>
            </w:r>
          </w:p>
        </w:tc>
        <w:tc>
          <w:tcPr>
            <w:tcW w:type="dxa" w:w="5660"/>
            <w:tcMar>
              <w:top w:w="80" w:type="dxa"/>
              <w:start w:w="120" w:type="dxa"/>
              <w:bottom w:w="80" w:type="dxa"/>
              <w:end w:w="120" w:type="dxa"/>
            </w:tcMar>
            <w:vAlign w:val="center"/>
          </w:tcPr>
          <w:p>
            <w:pPr>
              <w:spacing w:after="40" w:line="252" w:lineRule="auto"/>
            </w:pPr>
            <w:r>
              <w:rPr>
                <w:color w:val="243746"/>
                <w:sz w:val="18"/>
              </w:rPr>
              <w:t>Stable correlation; operation_id used for durable business work.</w:t>
            </w:r>
          </w:p>
        </w:tc>
      </w:tr>
      <w:tr>
        <w:trPr>
          <w:cantSplit w:val="true"/>
        </w:trPr>
        <w:tc>
          <w:tcPr>
            <w:tcW w:type="dxa" w:w="2400"/>
            <w:tcMar>
              <w:top w:w="80" w:type="dxa"/>
              <w:start w:w="120" w:type="dxa"/>
              <w:bottom w:w="80" w:type="dxa"/>
              <w:end w:w="120" w:type="dxa"/>
            </w:tcMar>
            <w:vAlign w:val="center"/>
          </w:tcPr>
          <w:p>
            <w:pPr>
              <w:spacing w:after="40" w:line="252" w:lineRule="auto"/>
            </w:pPr>
            <w:r>
              <w:rPr>
                <w:color w:val="243746"/>
                <w:sz w:val="18"/>
              </w:rPr>
              <w:t>issued_at / expires_at</w:t>
            </w:r>
          </w:p>
        </w:tc>
        <w:tc>
          <w:tcPr>
            <w:tcW w:type="dxa" w:w="1300"/>
            <w:tcMar>
              <w:top w:w="80" w:type="dxa"/>
              <w:start w:w="120" w:type="dxa"/>
              <w:bottom w:w="80" w:type="dxa"/>
              <w:end w:w="120" w:type="dxa"/>
            </w:tcMar>
            <w:vAlign w:val="center"/>
          </w:tcPr>
          <w:p>
            <w:pPr>
              <w:spacing w:after="40" w:line="252" w:lineRule="auto"/>
            </w:pPr>
            <w:r>
              <w:rPr>
                <w:color w:val="243746"/>
                <w:sz w:val="18"/>
              </w:rPr>
              <w:t>Yes</w:t>
            </w:r>
          </w:p>
        </w:tc>
        <w:tc>
          <w:tcPr>
            <w:tcW w:type="dxa" w:w="5660"/>
            <w:tcMar>
              <w:top w:w="80" w:type="dxa"/>
              <w:start w:w="120" w:type="dxa"/>
              <w:bottom w:w="80" w:type="dxa"/>
              <w:end w:w="120" w:type="dxa"/>
            </w:tcMar>
            <w:vAlign w:val="center"/>
          </w:tcPr>
          <w:p>
            <w:pPr>
              <w:spacing w:after="40" w:line="252" w:lineRule="auto"/>
            </w:pPr>
            <w:r>
              <w:rPr>
                <w:color w:val="243746"/>
                <w:sz w:val="18"/>
              </w:rPr>
              <w:t>Short-lived context; expiry checked before transaction.</w:t>
            </w:r>
          </w:p>
        </w:tc>
      </w:tr>
      <w:tr>
        <w:trPr>
          <w:cantSplit w:val="true"/>
        </w:trPr>
        <w:tc>
          <w:tcPr>
            <w:tcW w:type="dxa" w:w="2400"/>
            <w:tcMar>
              <w:top w:w="80" w:type="dxa"/>
              <w:start w:w="120" w:type="dxa"/>
              <w:bottom w:w="80" w:type="dxa"/>
              <w:end w:w="120" w:type="dxa"/>
            </w:tcMar>
            <w:vAlign w:val="center"/>
          </w:tcPr>
          <w:p>
            <w:pPr>
              <w:spacing w:after="40" w:line="252" w:lineRule="auto"/>
            </w:pPr>
            <w:r>
              <w:rPr>
                <w:color w:val="243746"/>
                <w:sz w:val="18"/>
              </w:rPr>
              <w:t>support_access</w:t>
            </w:r>
          </w:p>
        </w:tc>
        <w:tc>
          <w:tcPr>
            <w:tcW w:type="dxa" w:w="1300"/>
            <w:tcMar>
              <w:top w:w="80" w:type="dxa"/>
              <w:start w:w="120" w:type="dxa"/>
              <w:bottom w:w="80" w:type="dxa"/>
              <w:end w:w="120" w:type="dxa"/>
            </w:tcMar>
            <w:vAlign w:val="center"/>
          </w:tcPr>
          <w:p>
            <w:pPr>
              <w:spacing w:after="40" w:line="252" w:lineRule="auto"/>
            </w:pPr>
            <w:r>
              <w:rPr>
                <w:color w:val="243746"/>
                <w:sz w:val="18"/>
              </w:rPr>
              <w:t>Conditional</w:t>
            </w:r>
          </w:p>
        </w:tc>
        <w:tc>
          <w:tcPr>
            <w:tcW w:type="dxa" w:w="5660"/>
            <w:tcMar>
              <w:top w:w="80" w:type="dxa"/>
              <w:start w:w="120" w:type="dxa"/>
              <w:bottom w:w="80" w:type="dxa"/>
              <w:end w:w="120" w:type="dxa"/>
            </w:tcMar>
            <w:vAlign w:val="center"/>
          </w:tcPr>
          <w:p>
            <w:pPr>
              <w:spacing w:after="40" w:line="252" w:lineRule="auto"/>
            </w:pPr>
            <w:r>
              <w:rPr>
                <w:color w:val="243746"/>
                <w:sz w:val="18"/>
              </w:rPr>
              <w:t>Grant ID, approval basis, expiry, and break-glass marker.</w:t>
            </w:r>
          </w:p>
        </w:tc>
      </w:tr>
    </w:tbl>
    <w:p>
      <w:pPr>
        <w:spacing w:after="40"/>
      </w:pPr>
    </w:p>
    <w:p>
      <w:pPr>
        <w:pStyle w:val="Heading2"/>
      </w:pPr>
      <w:r>
        <w:t>7.2 Transaction sequence</w:t>
      </w:r>
    </w:p>
    <w:p>
      <w:pPr>
        <w:pStyle w:val="ListNumber"/>
      </w:pPr>
      <w:r>
        <w:t>Authenticate the user/workload and normalize the requested purpose.</w:t>
      </w:r>
    </w:p>
    <w:p>
      <w:pPr>
        <w:pStyle w:val="ListNumber"/>
      </w:pPr>
      <w:r>
        <w:t>Resolve authorized tenant_id; fetch schema_key and lifecycle from shared.tenants.</w:t>
      </w:r>
    </w:p>
    <w:p>
      <w:pPr>
        <w:pStyle w:val="ListNumber"/>
      </w:pPr>
      <w:r>
        <w:t>Construct immutable tenant context and compare it with any route/job/resource tenant binding.</w:t>
      </w:r>
    </w:p>
    <w:p>
      <w:pPr>
        <w:pStyle w:val="ListNumber"/>
      </w:pPr>
      <w:r>
        <w:t>Checkout a connection; verify baseline or issue the approved reset command.</w:t>
      </w:r>
    </w:p>
    <w:p>
      <w:pPr>
        <w:pStyle w:val="ListNumber"/>
      </w:pPr>
      <w:r>
        <w:t>BEGIN; execute parameter-safe/identifier-safe SET LOCAL search_path; verify current_schema/current_setting as defined by implementation.</w:t>
      </w:r>
    </w:p>
    <w:p>
      <w:pPr>
        <w:pStyle w:val="ListNumber"/>
      </w:pPr>
      <w:r>
        <w:t>Execute repository work using unqualified tenant table names and explicitly qualified approved shared tables only.</w:t>
      </w:r>
    </w:p>
    <w:p>
      <w:pPr>
        <w:pStyle w:val="ListNumber"/>
      </w:pPr>
      <w:r>
        <w:t>Write required tenant-local evidence/audit atomically; COMMIT.</w:t>
      </w:r>
    </w:p>
    <w:p>
      <w:pPr>
        <w:pStyle w:val="ListNumber"/>
      </w:pPr>
      <w:r>
        <w:t>On any failure, ROLLBACK; reset or discard the connection; emit sanitized outcome telemetry.</w:t>
      </w:r>
    </w:p>
    <w:p>
      <w:pPr>
        <w:pStyle w:val="Heading1"/>
      </w:pPr>
      <w:r>
        <w:t>8. Security and privacy requirements</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r>
              <w:rPr>
                <w:b/>
                <w:color w:val="16324F"/>
                <w:sz w:val="18"/>
              </w:rPr>
              <w:t>Control objective</w:t>
            </w:r>
          </w:p>
        </w:tc>
        <w:tc>
          <w:tcPr>
            <w:tcW w:type="dxa" w:w="7160"/>
            <w:shd w:fill="E8EEF5"/>
            <w:tcMar>
              <w:top w:w="80" w:type="dxa"/>
              <w:start w:w="120" w:type="dxa"/>
              <w:bottom w:w="80" w:type="dxa"/>
              <w:end w:w="120" w:type="dxa"/>
            </w:tcMar>
            <w:vAlign w:val="center"/>
          </w:tcPr>
          <w:p>
            <w:r>
              <w:rPr>
                <w:b/>
                <w:color w:val="16324F"/>
                <w:sz w:val="18"/>
              </w:rPr>
              <w:t>Requirement / evidence</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Confidentiality</w:t>
            </w:r>
          </w:p>
        </w:tc>
        <w:tc>
          <w:tcPr>
            <w:tcW w:type="dxa" w:w="7160"/>
            <w:tcMar>
              <w:top w:w="80" w:type="dxa"/>
              <w:start w:w="120" w:type="dxa"/>
              <w:bottom w:w="80" w:type="dxa"/>
              <w:end w:w="120" w:type="dxa"/>
            </w:tcMar>
            <w:vAlign w:val="center"/>
          </w:tcPr>
          <w:p>
            <w:pPr>
              <w:spacing w:after="40" w:line="252" w:lineRule="auto"/>
            </w:pPr>
            <w:r>
              <w:rPr>
                <w:color w:val="243746"/>
                <w:sz w:val="18"/>
              </w:rPr>
              <w:t>Encryption in transit and at rest; private Cloud SQL connectivity; secrets from managed secret storage; no credentials in code or logs.</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Authorization</w:t>
            </w:r>
          </w:p>
        </w:tc>
        <w:tc>
          <w:tcPr>
            <w:tcW w:type="dxa" w:w="7160"/>
            <w:tcMar>
              <w:top w:w="80" w:type="dxa"/>
              <w:start w:w="120" w:type="dxa"/>
              <w:bottom w:w="80" w:type="dxa"/>
              <w:end w:w="120" w:type="dxa"/>
            </w:tcMar>
            <w:vAlign w:val="center"/>
          </w:tcPr>
          <w:p>
            <w:pPr>
              <w:spacing w:after="40" w:line="252" w:lineRule="auto"/>
            </w:pPr>
            <w:r>
              <w:rPr>
                <w:color w:val="243746"/>
                <w:sz w:val="18"/>
              </w:rPr>
              <w:t>Organization, role/capability, purpose, and resource context validated before tenant resolution; database routing does not substitute for authorization.</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Minimum necessary</w:t>
            </w:r>
          </w:p>
        </w:tc>
        <w:tc>
          <w:tcPr>
            <w:tcW w:type="dxa" w:w="7160"/>
            <w:tcMar>
              <w:top w:w="80" w:type="dxa"/>
              <w:start w:w="120" w:type="dxa"/>
              <w:bottom w:w="80" w:type="dxa"/>
              <w:end w:w="120" w:type="dxa"/>
            </w:tcMar>
            <w:vAlign w:val="center"/>
          </w:tcPr>
          <w:p>
            <w:pPr>
              <w:spacing w:after="40" w:line="252" w:lineRule="auto"/>
            </w:pPr>
            <w:r>
              <w:rPr>
                <w:color w:val="243746"/>
                <w:sz w:val="18"/>
              </w:rPr>
              <w:t>Shared records and support views expose only fields required for the operational purpose.</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Injection resistance</w:t>
            </w:r>
          </w:p>
        </w:tc>
        <w:tc>
          <w:tcPr>
            <w:tcW w:type="dxa" w:w="7160"/>
            <w:tcMar>
              <w:top w:w="80" w:type="dxa"/>
              <w:start w:w="120" w:type="dxa"/>
              <w:bottom w:w="80" w:type="dxa"/>
              <w:end w:w="120" w:type="dxa"/>
            </w:tcMar>
            <w:vAlign w:val="center"/>
          </w:tcPr>
          <w:p>
            <w:pPr>
              <w:spacing w:after="40" w:line="252" w:lineRule="auto"/>
            </w:pPr>
            <w:r>
              <w:rPr>
                <w:color w:val="243746"/>
                <w:sz w:val="18"/>
              </w:rPr>
              <w:t>No raw schema interpolation. Registry validation plus driver identifier quoting/approved mapping is mandatory.</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Audit integrity</w:t>
            </w:r>
          </w:p>
        </w:tc>
        <w:tc>
          <w:tcPr>
            <w:tcW w:type="dxa" w:w="7160"/>
            <w:tcMar>
              <w:top w:w="80" w:type="dxa"/>
              <w:start w:w="120" w:type="dxa"/>
              <w:bottom w:w="80" w:type="dxa"/>
              <w:end w:w="120" w:type="dxa"/>
            </w:tcMar>
            <w:vAlign w:val="center"/>
          </w:tcPr>
          <w:p>
            <w:pPr>
              <w:spacing w:after="40" w:line="252" w:lineRule="auto"/>
            </w:pPr>
            <w:r>
              <w:rPr>
                <w:color w:val="243746"/>
                <w:sz w:val="18"/>
              </w:rPr>
              <w:t>Runtime cannot modify or delete support/access audit records; audit administration is separately privileged.</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PHI-safe telemetry</w:t>
            </w:r>
          </w:p>
        </w:tc>
        <w:tc>
          <w:tcPr>
            <w:tcW w:type="dxa" w:w="7160"/>
            <w:tcMar>
              <w:top w:w="80" w:type="dxa"/>
              <w:start w:w="120" w:type="dxa"/>
              <w:bottom w:w="80" w:type="dxa"/>
              <w:end w:w="120" w:type="dxa"/>
            </w:tcMar>
            <w:vAlign w:val="center"/>
          </w:tcPr>
          <w:p>
            <w:pPr>
              <w:spacing w:after="40" w:line="252" w:lineRule="auto"/>
            </w:pPr>
            <w:r>
              <w:rPr>
                <w:color w:val="243746"/>
                <w:sz w:val="18"/>
              </w:rPr>
              <w:t>Central logs, traces, alerts, and metrics exclude payloads, patient names, document contents, message bodies, query parameters, and raw SQL values.</w:t>
            </w:r>
          </w:p>
        </w:tc>
      </w:tr>
      <w:tr>
        <w:trPr>
          <w:cantSplit w:val="true"/>
        </w:trPr>
        <w:tc>
          <w:tcPr>
            <w:tcW w:type="dxa" w:w="2200"/>
            <w:tcMar>
              <w:top w:w="80" w:type="dxa"/>
              <w:start w:w="120" w:type="dxa"/>
              <w:bottom w:w="80" w:type="dxa"/>
              <w:end w:w="120" w:type="dxa"/>
            </w:tcMar>
            <w:vAlign w:val="center"/>
          </w:tcPr>
          <w:p>
            <w:pPr>
              <w:spacing w:after="40" w:line="252" w:lineRule="auto"/>
            </w:pPr>
            <w:r>
              <w:rPr>
                <w:color w:val="243746"/>
                <w:sz w:val="18"/>
              </w:rPr>
              <w:t>Threat detection</w:t>
            </w:r>
          </w:p>
        </w:tc>
        <w:tc>
          <w:tcPr>
            <w:tcW w:type="dxa" w:w="7160"/>
            <w:tcMar>
              <w:top w:w="80" w:type="dxa"/>
              <w:start w:w="120" w:type="dxa"/>
              <w:bottom w:w="80" w:type="dxa"/>
              <w:end w:w="120" w:type="dxa"/>
            </w:tcMar>
            <w:vAlign w:val="center"/>
          </w:tcPr>
          <w:p>
            <w:pPr>
              <w:spacing w:after="40" w:line="252" w:lineRule="auto"/>
            </w:pPr>
            <w:r>
              <w:rPr>
                <w:color w:val="243746"/>
                <w:sz w:val="18"/>
              </w:rPr>
              <w:t>Alert on cross-tenant mismatch, invalid schema resolution, repeated unauthorized tenant attempts, break-glass activation, reset failure, and grant drift.</w:t>
            </w:r>
          </w:p>
        </w:tc>
      </w:tr>
    </w:tbl>
    <w:p>
      <w:pPr>
        <w:spacing w:after="40"/>
      </w:pPr>
    </w:p>
    <w:p>
      <w:pPr>
        <w:pStyle w:val="Heading1"/>
      </w:pPr>
      <w:r>
        <w:t>9. Reliability, performance, and observability</w:t>
      </w:r>
    </w:p>
    <w:p>
      <w:pPr>
        <w:keepNext/>
        <w:spacing w:before="120" w:after="40"/>
      </w:pPr>
      <w:r>
        <w:rPr>
          <w:b/>
          <w:color w:val="2E74B5"/>
        </w:rPr>
        <w:t>M01-NFR-001 — Availability</w:t>
      </w:r>
    </w:p>
    <w:p>
      <w:r>
        <w:t>Tenant-context resolution and transaction setup shall meet the service-level objectives approved for dependent production workflows. If the registry or database cannot establish trustworthy context, the operation shall fail closed and be retryable only when safe.</w:t>
      </w:r>
    </w:p>
    <w:p>
      <w:pPr>
        <w:keepNext/>
        <w:spacing w:before="120" w:after="40"/>
      </w:pPr>
      <w:r>
        <w:rPr>
          <w:b/>
          <w:color w:val="2E74B5"/>
        </w:rPr>
        <w:t>M01-NFR-002 — Overhead</w:t>
      </w:r>
    </w:p>
    <w:p>
      <w:r>
        <w:t>Tenant resolution, transaction setup, and routing verification shall be measured separately from business-query latency. Performance targets shall be set from baseline load testing before production; correctness controls shall not be disabled to meet latency.</w:t>
      </w:r>
    </w:p>
    <w:p>
      <w:pPr>
        <w:keepNext/>
        <w:spacing w:before="120" w:after="40"/>
      </w:pPr>
      <w:r>
        <w:rPr>
          <w:b/>
          <w:color w:val="2E74B5"/>
        </w:rPr>
        <w:t>M01-NFR-003 — Concurrency</w:t>
      </w:r>
    </w:p>
    <w:p>
      <w:r>
        <w:t>The implementation shall remain correct under parallel transactions for the same and different tenants, pool saturation, cancellation, connection loss, failover, and deployment turnover.</w:t>
      </w:r>
    </w:p>
    <w:p>
      <w:pPr>
        <w:keepNext/>
        <w:spacing w:before="120" w:after="40"/>
      </w:pPr>
      <w:r>
        <w:rPr>
          <w:b/>
          <w:color w:val="2E74B5"/>
        </w:rPr>
        <w:t>M01-NFR-004 — Telemetry</w:t>
      </w:r>
    </w:p>
    <w:p>
      <w:r>
        <w:t>Metrics shall include context-resolution success/failure, lifecycle denials, transaction setup failures, rollback rate, pool reset/discard rate, migration drift, support access volume, break-glass use, and cross-tenant mismatch alerts.</w:t>
      </w:r>
    </w:p>
    <w:p>
      <w:pPr>
        <w:keepNext/>
        <w:spacing w:before="120" w:after="40"/>
      </w:pPr>
      <w:r>
        <w:rPr>
          <w:b/>
          <w:color w:val="2E74B5"/>
        </w:rPr>
        <w:t>M01-NFR-005 — Alerting</w:t>
      </w:r>
    </w:p>
    <w:p>
      <w:r>
        <w:t>Any verified cross-tenant access or mutation is severity 1. Suspected contamination or routing mismatch is security-significant and shall stop affected processing, preserve evidence, and page the assigned owner according to the incident runbook.</w:t>
      </w:r>
    </w:p>
    <w:p>
      <w:pPr>
        <w:keepNext/>
        <w:spacing w:before="120" w:after="40"/>
      </w:pPr>
      <w:r>
        <w:rPr>
          <w:b/>
          <w:color w:val="2E74B5"/>
        </w:rPr>
        <w:t>M01-NFR-006 — Recovery</w:t>
      </w:r>
    </w:p>
    <w:p>
      <w:r>
        <w:t>Restart, retry, and failover shall not reuse an ambiguous transaction or tenant context. Work is resumed only from durable module-owned state using a newly resolved tenant context.</w:t>
      </w:r>
    </w:p>
    <w:p>
      <w:pPr>
        <w:keepNext/>
        <w:spacing w:before="120" w:after="40"/>
      </w:pPr>
      <w:r>
        <w:rPr>
          <w:b/>
          <w:color w:val="2E74B5"/>
        </w:rPr>
        <w:t>M01-NFR-007 — Cross-tenant resource fairness</w:t>
      </w:r>
    </w:p>
    <w:p>
      <w:r>
        <w:t>One tenant’s queries, scheduled work, retries, or support activity shall not be allowed to cause unbounded degradation or starvation for other tenants. The platform shall measure per-tenant resource consumption and apply bounded concurrency, backpressure, timeouts, queue limits, or workload controls appropriate to each module. Exact quotas and service objectives shall be established through production-like load testing.</w:t>
      </w:r>
    </w:p>
    <w:p>
      <w:pPr>
        <w:spacing w:after="100"/>
        <w:ind w:left="317"/>
      </w:pPr>
      <w:r>
        <w:rPr>
          <w:b/>
          <w:color w:val="16324F"/>
        </w:rPr>
        <w:t xml:space="preserve">Acceptance: </w:t>
      </w:r>
      <w:r>
        <w:t>Load tests with at least two tenants demonstrate that a deliberately saturated tenant remains bounded, other tenants retain their approved service level, and protective controls generate PHI-safe telemetry and actionable alerts.</w:t>
      </w:r>
    </w:p>
    <w:p>
      <w:pPr>
        <w:pStyle w:val="Heading1"/>
      </w:pPr>
      <w:r>
        <w:t>10. Failure behavior</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300"/>
        <w:gridCol w:w="7060"/>
      </w:tblGrid>
      <w:tr>
        <w:trPr>
          <w:tblHeader w:val="true"/>
          <w:cantSplit w:val="true"/>
        </w:trPr>
        <w:tc>
          <w:tcPr>
            <w:tcW w:type="dxa" w:w="2300"/>
            <w:shd w:fill="E8EEF5"/>
            <w:tcMar>
              <w:top w:w="80" w:type="dxa"/>
              <w:start w:w="120" w:type="dxa"/>
              <w:bottom w:w="80" w:type="dxa"/>
              <w:end w:w="120" w:type="dxa"/>
            </w:tcMar>
            <w:vAlign w:val="center"/>
          </w:tcPr>
          <w:p>
            <w:r>
              <w:rPr>
                <w:b/>
                <w:color w:val="16324F"/>
                <w:sz w:val="18"/>
              </w:rPr>
              <w:t>Failure</w:t>
            </w:r>
          </w:p>
        </w:tc>
        <w:tc>
          <w:tcPr>
            <w:tcW w:type="dxa" w:w="7060"/>
            <w:shd w:fill="E8EEF5"/>
            <w:tcMar>
              <w:top w:w="80" w:type="dxa"/>
              <w:start w:w="120" w:type="dxa"/>
              <w:bottom w:w="80" w:type="dxa"/>
              <w:end w:w="120" w:type="dxa"/>
            </w:tcMar>
            <w:vAlign w:val="center"/>
          </w:tcPr>
          <w:p>
            <w:r>
              <w:rPr>
                <w:b/>
                <w:color w:val="16324F"/>
                <w:sz w:val="18"/>
              </w:rPr>
              <w:t>Required behavior</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Tenant not found / unauthorized</w:t>
            </w:r>
          </w:p>
        </w:tc>
        <w:tc>
          <w:tcPr>
            <w:tcW w:type="dxa" w:w="7060"/>
            <w:tcMar>
              <w:top w:w="80" w:type="dxa"/>
              <w:start w:w="120" w:type="dxa"/>
              <w:bottom w:w="80" w:type="dxa"/>
              <w:end w:w="120" w:type="dxa"/>
            </w:tcMar>
            <w:vAlign w:val="center"/>
          </w:tcPr>
          <w:p>
            <w:pPr>
              <w:spacing w:after="40" w:line="252" w:lineRule="auto"/>
            </w:pPr>
            <w:r>
              <w:rPr>
                <w:color w:val="243746"/>
                <w:sz w:val="18"/>
              </w:rPr>
              <w:t>Deny without revealing whether the tenant exists; log reason code and correlation.</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Tenant suspended/archived</w:t>
            </w:r>
          </w:p>
        </w:tc>
        <w:tc>
          <w:tcPr>
            <w:tcW w:type="dxa" w:w="7060"/>
            <w:tcMar>
              <w:top w:w="80" w:type="dxa"/>
              <w:start w:w="120" w:type="dxa"/>
              <w:bottom w:w="80" w:type="dxa"/>
              <w:end w:w="120" w:type="dxa"/>
            </w:tcMar>
            <w:vAlign w:val="center"/>
          </w:tcPr>
          <w:p>
            <w:pPr>
              <w:spacing w:after="40" w:line="252" w:lineRule="auto"/>
            </w:pPr>
            <w:r>
              <w:rPr>
                <w:color w:val="243746"/>
                <w:sz w:val="18"/>
              </w:rPr>
              <w:t>Reject disallowed operation; permit only explicitly defined recovery/support paths.</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Registry/schema mismatch</w:t>
            </w:r>
          </w:p>
        </w:tc>
        <w:tc>
          <w:tcPr>
            <w:tcW w:type="dxa" w:w="7060"/>
            <w:tcMar>
              <w:top w:w="80" w:type="dxa"/>
              <w:start w:w="120" w:type="dxa"/>
              <w:bottom w:w="80" w:type="dxa"/>
              <w:end w:w="120" w:type="dxa"/>
            </w:tcMar>
            <w:vAlign w:val="center"/>
          </w:tcPr>
          <w:p>
            <w:pPr>
              <w:spacing w:after="40" w:line="252" w:lineRule="auto"/>
            </w:pPr>
            <w:r>
              <w:rPr>
                <w:color w:val="243746"/>
                <w:sz w:val="18"/>
              </w:rPr>
              <w:t>Stop processing; alert; do not attempt fallback schema selection.</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SET LOCAL or verification fails</w:t>
            </w:r>
          </w:p>
        </w:tc>
        <w:tc>
          <w:tcPr>
            <w:tcW w:type="dxa" w:w="7060"/>
            <w:tcMar>
              <w:top w:w="80" w:type="dxa"/>
              <w:start w:w="120" w:type="dxa"/>
              <w:bottom w:w="80" w:type="dxa"/>
              <w:end w:w="120" w:type="dxa"/>
            </w:tcMar>
            <w:vAlign w:val="center"/>
          </w:tcPr>
          <w:p>
            <w:pPr>
              <w:spacing w:after="40" w:line="252" w:lineRule="auto"/>
            </w:pPr>
            <w:r>
              <w:rPr>
                <w:color w:val="243746"/>
                <w:sz w:val="18"/>
              </w:rPr>
              <w:t>Rollback and discard connection if state is uncertain.</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Business SQL fails</w:t>
            </w:r>
          </w:p>
        </w:tc>
        <w:tc>
          <w:tcPr>
            <w:tcW w:type="dxa" w:w="7060"/>
            <w:tcMar>
              <w:top w:w="80" w:type="dxa"/>
              <w:start w:w="120" w:type="dxa"/>
              <w:bottom w:w="80" w:type="dxa"/>
              <w:end w:w="120" w:type="dxa"/>
            </w:tcMar>
            <w:vAlign w:val="center"/>
          </w:tcPr>
          <w:p>
            <w:pPr>
              <w:spacing w:after="40" w:line="252" w:lineRule="auto"/>
            </w:pPr>
            <w:r>
              <w:rPr>
                <w:color w:val="243746"/>
                <w:sz w:val="18"/>
              </w:rPr>
              <w:t>Rollback atomic unit; emit sanitized error; allow owning module to apply safe retry policy.</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Commit outcome uncertain</w:t>
            </w:r>
          </w:p>
        </w:tc>
        <w:tc>
          <w:tcPr>
            <w:tcW w:type="dxa" w:w="7060"/>
            <w:tcMar>
              <w:top w:w="80" w:type="dxa"/>
              <w:start w:w="120" w:type="dxa"/>
              <w:bottom w:w="80" w:type="dxa"/>
              <w:end w:w="120" w:type="dxa"/>
            </w:tcMar>
            <w:vAlign w:val="center"/>
          </w:tcPr>
          <w:p>
            <w:pPr>
              <w:spacing w:after="40" w:line="252" w:lineRule="auto"/>
            </w:pPr>
            <w:r>
              <w:rPr>
                <w:color w:val="243746"/>
                <w:sz w:val="18"/>
              </w:rPr>
              <w:t>Do not assume success. Mark operation indeterminate where applicable and reconcile through M02/M05/M11 patterns.</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Pool reset fails</w:t>
            </w:r>
          </w:p>
        </w:tc>
        <w:tc>
          <w:tcPr>
            <w:tcW w:type="dxa" w:w="7060"/>
            <w:tcMar>
              <w:top w:w="80" w:type="dxa"/>
              <w:start w:w="120" w:type="dxa"/>
              <w:bottom w:w="80" w:type="dxa"/>
              <w:end w:w="120" w:type="dxa"/>
            </w:tcMar>
            <w:vAlign w:val="center"/>
          </w:tcPr>
          <w:p>
            <w:pPr>
              <w:spacing w:after="40" w:line="252" w:lineRule="auto"/>
            </w:pPr>
            <w:r>
              <w:rPr>
                <w:color w:val="243746"/>
                <w:sz w:val="18"/>
              </w:rPr>
              <w:t>Discard connection; increment security/reliability metric.</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Context mismatch in async work</w:t>
            </w:r>
          </w:p>
        </w:tc>
        <w:tc>
          <w:tcPr>
            <w:tcW w:type="dxa" w:w="7060"/>
            <w:tcMar>
              <w:top w:w="80" w:type="dxa"/>
              <w:start w:w="120" w:type="dxa"/>
              <w:bottom w:w="80" w:type="dxa"/>
              <w:end w:w="120" w:type="dxa"/>
            </w:tcMar>
            <w:vAlign w:val="center"/>
          </w:tcPr>
          <w:p>
            <w:pPr>
              <w:spacing w:after="40" w:line="252" w:lineRule="auto"/>
            </w:pPr>
            <w:r>
              <w:rPr>
                <w:color w:val="243746"/>
                <w:sz w:val="18"/>
              </w:rPr>
              <w:t>Do not process; quarantine/error-queue through owning module; alert if malicious or systemic.</w:t>
            </w:r>
          </w:p>
        </w:tc>
      </w:tr>
      <w:tr>
        <w:trPr>
          <w:cantSplit w:val="true"/>
        </w:trPr>
        <w:tc>
          <w:tcPr>
            <w:tcW w:type="dxa" w:w="2300"/>
            <w:tcMar>
              <w:top w:w="80" w:type="dxa"/>
              <w:start w:w="120" w:type="dxa"/>
              <w:bottom w:w="80" w:type="dxa"/>
              <w:end w:w="120" w:type="dxa"/>
            </w:tcMar>
            <w:vAlign w:val="center"/>
          </w:tcPr>
          <w:p>
            <w:pPr>
              <w:spacing w:after="40" w:line="252" w:lineRule="auto"/>
            </w:pPr>
            <w:r>
              <w:rPr>
                <w:color w:val="243746"/>
                <w:sz w:val="18"/>
              </w:rPr>
              <w:t>Audit sink failure for support access</w:t>
            </w:r>
          </w:p>
        </w:tc>
        <w:tc>
          <w:tcPr>
            <w:tcW w:type="dxa" w:w="7060"/>
            <w:tcMar>
              <w:top w:w="80" w:type="dxa"/>
              <w:start w:w="120" w:type="dxa"/>
              <w:bottom w:w="80" w:type="dxa"/>
              <w:end w:w="120" w:type="dxa"/>
            </w:tcMar>
            <w:vAlign w:val="center"/>
          </w:tcPr>
          <w:p>
            <w:pPr>
              <w:spacing w:after="40" w:line="252" w:lineRule="auto"/>
            </w:pPr>
            <w:r>
              <w:rPr>
                <w:color w:val="243746"/>
                <w:sz w:val="18"/>
              </w:rPr>
              <w:t>Fail closed for starting/elevating support access; emergency exception requires approved break-glass policy.</w:t>
            </w:r>
          </w:p>
        </w:tc>
      </w:tr>
    </w:tbl>
    <w:p>
      <w:pPr>
        <w:spacing w:after="40"/>
      </w:pPr>
    </w:p>
    <w:p>
      <w:pPr>
        <w:pStyle w:val="Heading1"/>
      </w:pPr>
      <w:r>
        <w:t>11. Test and acceptance plan</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500"/>
        <w:gridCol w:w="5000"/>
        <w:gridCol w:w="2860"/>
      </w:tblGrid>
      <w:tr>
        <w:trPr>
          <w:tblHeader w:val="true"/>
          <w:cantSplit w:val="true"/>
        </w:trPr>
        <w:tc>
          <w:tcPr>
            <w:tcW w:type="dxa" w:w="1500"/>
            <w:shd w:fill="E8EEF5"/>
            <w:tcMar>
              <w:top w:w="80" w:type="dxa"/>
              <w:start w:w="120" w:type="dxa"/>
              <w:bottom w:w="80" w:type="dxa"/>
              <w:end w:w="120" w:type="dxa"/>
            </w:tcMar>
            <w:vAlign w:val="center"/>
          </w:tcPr>
          <w:p>
            <w:r>
              <w:rPr>
                <w:b/>
                <w:color w:val="16324F"/>
                <w:sz w:val="18"/>
              </w:rPr>
              <w:t>Test group</w:t>
            </w:r>
          </w:p>
        </w:tc>
        <w:tc>
          <w:tcPr>
            <w:tcW w:type="dxa" w:w="5000"/>
            <w:shd w:fill="E8EEF5"/>
            <w:tcMar>
              <w:top w:w="80" w:type="dxa"/>
              <w:start w:w="120" w:type="dxa"/>
              <w:bottom w:w="80" w:type="dxa"/>
              <w:end w:w="120" w:type="dxa"/>
            </w:tcMar>
            <w:vAlign w:val="center"/>
          </w:tcPr>
          <w:p>
            <w:r>
              <w:rPr>
                <w:b/>
                <w:color w:val="16324F"/>
                <w:sz w:val="18"/>
              </w:rPr>
              <w:t>Required coverage</w:t>
            </w:r>
          </w:p>
        </w:tc>
        <w:tc>
          <w:tcPr>
            <w:tcW w:type="dxa" w:w="2860"/>
            <w:shd w:fill="E8EEF5"/>
            <w:tcMar>
              <w:top w:w="80" w:type="dxa"/>
              <w:start w:w="120" w:type="dxa"/>
              <w:bottom w:w="80" w:type="dxa"/>
              <w:end w:w="120" w:type="dxa"/>
            </w:tcMar>
            <w:vAlign w:val="center"/>
          </w:tcPr>
          <w:p>
            <w:r>
              <w:rPr>
                <w:b/>
                <w:color w:val="16324F"/>
                <w:sz w:val="18"/>
              </w:rPr>
              <w:t>Exit evidence</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Unit</w:t>
            </w:r>
          </w:p>
        </w:tc>
        <w:tc>
          <w:tcPr>
            <w:tcW w:type="dxa" w:w="5000"/>
            <w:tcMar>
              <w:top w:w="80" w:type="dxa"/>
              <w:start w:w="120" w:type="dxa"/>
              <w:bottom w:w="80" w:type="dxa"/>
              <w:end w:w="120" w:type="dxa"/>
            </w:tcMar>
            <w:vAlign w:val="center"/>
          </w:tcPr>
          <w:p>
            <w:pPr>
              <w:spacing w:after="40" w:line="252" w:lineRule="auto"/>
            </w:pPr>
            <w:r>
              <w:rPr>
                <w:color w:val="243746"/>
                <w:sz w:val="18"/>
              </w:rPr>
              <w:t>Registry validation; context construction; lifecycle matrix; identifier allowlist/quoting; error sanitization; capability checks.</w:t>
            </w:r>
          </w:p>
        </w:tc>
        <w:tc>
          <w:tcPr>
            <w:tcW w:type="dxa" w:w="2860"/>
            <w:tcMar>
              <w:top w:w="80" w:type="dxa"/>
              <w:start w:w="120" w:type="dxa"/>
              <w:bottom w:w="80" w:type="dxa"/>
              <w:end w:w="120" w:type="dxa"/>
            </w:tcMar>
            <w:vAlign w:val="center"/>
          </w:tcPr>
          <w:p>
            <w:pPr>
              <w:spacing w:after="40" w:line="252" w:lineRule="auto"/>
            </w:pPr>
            <w:r>
              <w:rPr>
                <w:color w:val="243746"/>
                <w:sz w:val="18"/>
              </w:rPr>
              <w:t>Automated passing suite with negative paths.</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Database integration</w:t>
            </w:r>
          </w:p>
        </w:tc>
        <w:tc>
          <w:tcPr>
            <w:tcW w:type="dxa" w:w="5000"/>
            <w:tcMar>
              <w:top w:w="80" w:type="dxa"/>
              <w:start w:w="120" w:type="dxa"/>
              <w:bottom w:w="80" w:type="dxa"/>
              <w:end w:w="120" w:type="dxa"/>
            </w:tcMar>
            <w:vAlign w:val="center"/>
          </w:tcPr>
          <w:p>
            <w:pPr>
              <w:spacing w:after="40" w:line="252" w:lineRule="auto"/>
            </w:pPr>
            <w:r>
              <w:rPr>
                <w:color w:val="243746"/>
                <w:sz w:val="18"/>
              </w:rPr>
              <w:t>SET LOCAL scope; rollback; public shadowing; grants; DDL denial; audit immutability; migration version checks.</w:t>
            </w:r>
          </w:p>
        </w:tc>
        <w:tc>
          <w:tcPr>
            <w:tcW w:type="dxa" w:w="2860"/>
            <w:tcMar>
              <w:top w:w="80" w:type="dxa"/>
              <w:start w:w="120" w:type="dxa"/>
              <w:bottom w:w="80" w:type="dxa"/>
              <w:end w:w="120" w:type="dxa"/>
            </w:tcMar>
            <w:vAlign w:val="center"/>
          </w:tcPr>
          <w:p>
            <w:pPr>
              <w:spacing w:after="40" w:line="252" w:lineRule="auto"/>
            </w:pPr>
            <w:r>
              <w:rPr>
                <w:color w:val="243746"/>
                <w:sz w:val="18"/>
              </w:rPr>
              <w:t>Production-like PostgreSQL results and permissions manifest.</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Pool isolation</w:t>
            </w:r>
          </w:p>
        </w:tc>
        <w:tc>
          <w:tcPr>
            <w:tcW w:type="dxa" w:w="5000"/>
            <w:tcMar>
              <w:top w:w="80" w:type="dxa"/>
              <w:start w:w="120" w:type="dxa"/>
              <w:bottom w:w="80" w:type="dxa"/>
              <w:end w:w="120" w:type="dxa"/>
            </w:tcMar>
            <w:vAlign w:val="center"/>
          </w:tcPr>
          <w:p>
            <w:pPr>
              <w:spacing w:after="40" w:line="252" w:lineRule="auto"/>
            </w:pPr>
            <w:r>
              <w:rPr>
                <w:color w:val="243746"/>
                <w:sz w:val="18"/>
              </w:rPr>
              <w:t>Alternating tenants on same connection; exceptions; cancellation; timeout; process termination; prepared statements/session state.</w:t>
            </w:r>
          </w:p>
        </w:tc>
        <w:tc>
          <w:tcPr>
            <w:tcW w:type="dxa" w:w="2860"/>
            <w:tcMar>
              <w:top w:w="80" w:type="dxa"/>
              <w:start w:w="120" w:type="dxa"/>
              <w:bottom w:w="80" w:type="dxa"/>
              <w:end w:w="120" w:type="dxa"/>
            </w:tcMar>
            <w:vAlign w:val="center"/>
          </w:tcPr>
          <w:p>
            <w:pPr>
              <w:spacing w:after="40" w:line="252" w:lineRule="auto"/>
            </w:pPr>
            <w:r>
              <w:rPr>
                <w:color w:val="243746"/>
                <w:sz w:val="18"/>
              </w:rPr>
              <w:t>No prior-tenant state observable; reset/discard verified.</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Concurrency</w:t>
            </w:r>
          </w:p>
        </w:tc>
        <w:tc>
          <w:tcPr>
            <w:tcW w:type="dxa" w:w="5000"/>
            <w:tcMar>
              <w:top w:w="80" w:type="dxa"/>
              <w:start w:w="120" w:type="dxa"/>
              <w:bottom w:w="80" w:type="dxa"/>
              <w:end w:w="120" w:type="dxa"/>
            </w:tcMar>
            <w:vAlign w:val="center"/>
          </w:tcPr>
          <w:p>
            <w:pPr>
              <w:spacing w:after="40" w:line="252" w:lineRule="auto"/>
            </w:pPr>
            <w:r>
              <w:rPr>
                <w:color w:val="243746"/>
                <w:sz w:val="18"/>
              </w:rPr>
              <w:t>Parallel tenant operations, same IDs across tenants, saturation, failover, migration overlap.</w:t>
            </w:r>
          </w:p>
        </w:tc>
        <w:tc>
          <w:tcPr>
            <w:tcW w:type="dxa" w:w="2860"/>
            <w:tcMar>
              <w:top w:w="80" w:type="dxa"/>
              <w:start w:w="120" w:type="dxa"/>
              <w:bottom w:w="80" w:type="dxa"/>
              <w:end w:w="120" w:type="dxa"/>
            </w:tcMar>
            <w:vAlign w:val="center"/>
          </w:tcPr>
          <w:p>
            <w:pPr>
              <w:spacing w:after="40" w:line="252" w:lineRule="auto"/>
            </w:pPr>
            <w:r>
              <w:rPr>
                <w:color w:val="243746"/>
                <w:sz w:val="18"/>
              </w:rPr>
              <w:t>No collision, bleed, deadlock regression, or ambiguous context.</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Resource fairness</w:t>
            </w:r>
          </w:p>
        </w:tc>
        <w:tc>
          <w:tcPr>
            <w:tcW w:type="dxa" w:w="5000"/>
            <w:tcMar>
              <w:top w:w="80" w:type="dxa"/>
              <w:start w:w="120" w:type="dxa"/>
              <w:bottom w:w="80" w:type="dxa"/>
              <w:end w:w="120" w:type="dxa"/>
            </w:tcMar>
            <w:vAlign w:val="center"/>
          </w:tcPr>
          <w:p>
            <w:pPr>
              <w:spacing w:after="40" w:line="252" w:lineRule="auto"/>
            </w:pPr>
            <w:r>
              <w:rPr>
                <w:color w:val="243746"/>
                <w:sz w:val="18"/>
              </w:rPr>
              <w:t>One tenant saturated by queries, jobs, retries, and queue growth while representative peer tenants continue work.</w:t>
            </w:r>
          </w:p>
        </w:tc>
        <w:tc>
          <w:tcPr>
            <w:tcW w:type="dxa" w:w="2860"/>
            <w:tcMar>
              <w:top w:w="80" w:type="dxa"/>
              <w:start w:w="120" w:type="dxa"/>
              <w:bottom w:w="80" w:type="dxa"/>
              <w:end w:w="120" w:type="dxa"/>
            </w:tcMar>
            <w:vAlign w:val="center"/>
          </w:tcPr>
          <w:p>
            <w:pPr>
              <w:spacing w:after="40" w:line="252" w:lineRule="auto"/>
            </w:pPr>
            <w:r>
              <w:rPr>
                <w:color w:val="243746"/>
                <w:sz w:val="18"/>
              </w:rPr>
              <w:t>No unbounded starvation; approved peer-tenant service level retained; controls and alerts verified.</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Security/privacy</w:t>
            </w:r>
          </w:p>
        </w:tc>
        <w:tc>
          <w:tcPr>
            <w:tcW w:type="dxa" w:w="5000"/>
            <w:tcMar>
              <w:top w:w="80" w:type="dxa"/>
              <w:start w:w="120" w:type="dxa"/>
              <w:bottom w:w="80" w:type="dxa"/>
              <w:end w:w="120" w:type="dxa"/>
            </w:tcMar>
            <w:vAlign w:val="center"/>
          </w:tcPr>
          <w:p>
            <w:pPr>
              <w:spacing w:after="40" w:line="252" w:lineRule="auto"/>
            </w:pPr>
            <w:r>
              <w:rPr>
                <w:color w:val="243746"/>
                <w:sz w:val="18"/>
              </w:rPr>
              <w:t>Forged tenant/schema, IDOR, confused deputy, injection, support misuse, expired grants, telemetry PHI review.</w:t>
            </w:r>
          </w:p>
        </w:tc>
        <w:tc>
          <w:tcPr>
            <w:tcW w:type="dxa" w:w="2860"/>
            <w:tcMar>
              <w:top w:w="80" w:type="dxa"/>
              <w:start w:w="120" w:type="dxa"/>
              <w:bottom w:w="80" w:type="dxa"/>
              <w:end w:w="120" w:type="dxa"/>
            </w:tcMar>
            <w:vAlign w:val="center"/>
          </w:tcPr>
          <w:p>
            <w:pPr>
              <w:spacing w:after="40" w:line="252" w:lineRule="auto"/>
            </w:pPr>
            <w:r>
              <w:rPr>
                <w:color w:val="243746"/>
                <w:sz w:val="18"/>
              </w:rPr>
              <w:t>Security and privacy sign-off; zero open critical/high findings.</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Migration</w:t>
            </w:r>
          </w:p>
        </w:tc>
        <w:tc>
          <w:tcPr>
            <w:tcW w:type="dxa" w:w="5000"/>
            <w:tcMar>
              <w:top w:w="80" w:type="dxa"/>
              <w:start w:w="120" w:type="dxa"/>
              <w:bottom w:w="80" w:type="dxa"/>
              <w:end w:w="120" w:type="dxa"/>
            </w:tcMar>
            <w:vAlign w:val="center"/>
          </w:tcPr>
          <w:p>
            <w:pPr>
              <w:spacing w:after="40" w:line="252" w:lineRule="auto"/>
            </w:pPr>
            <w:r>
              <w:rPr>
                <w:color w:val="243746"/>
                <w:sz w:val="18"/>
              </w:rPr>
              <w:t>New tenant, canary tenant, mixed version rejection, failure/resume, rollback/forward-fix.</w:t>
            </w:r>
          </w:p>
        </w:tc>
        <w:tc>
          <w:tcPr>
            <w:tcW w:type="dxa" w:w="2860"/>
            <w:tcMar>
              <w:top w:w="80" w:type="dxa"/>
              <w:start w:w="120" w:type="dxa"/>
              <w:bottom w:w="80" w:type="dxa"/>
              <w:end w:w="120" w:type="dxa"/>
            </w:tcMar>
            <w:vAlign w:val="center"/>
          </w:tcPr>
          <w:p>
            <w:pPr>
              <w:spacing w:after="40" w:line="252" w:lineRule="auto"/>
            </w:pPr>
            <w:r>
              <w:rPr>
                <w:color w:val="243746"/>
                <w:sz w:val="18"/>
              </w:rPr>
              <w:t>Runbook evidence and version-drift alert.</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E2E</w:t>
            </w:r>
          </w:p>
        </w:tc>
        <w:tc>
          <w:tcPr>
            <w:tcW w:type="dxa" w:w="5000"/>
            <w:tcMar>
              <w:top w:w="80" w:type="dxa"/>
              <w:start w:w="120" w:type="dxa"/>
              <w:bottom w:w="80" w:type="dxa"/>
              <w:end w:w="120" w:type="dxa"/>
            </w:tcMar>
            <w:vAlign w:val="center"/>
          </w:tcPr>
          <w:p>
            <w:pPr>
              <w:spacing w:after="40" w:line="252" w:lineRule="auto"/>
            </w:pPr>
            <w:r>
              <w:rPr>
                <w:color w:val="243746"/>
                <w:sz w:val="18"/>
              </w:rPr>
              <w:t>At least two representative tenants executing dependent workflow scaffolds through the gateway.</w:t>
            </w:r>
          </w:p>
        </w:tc>
        <w:tc>
          <w:tcPr>
            <w:tcW w:type="dxa" w:w="2860"/>
            <w:tcMar>
              <w:top w:w="80" w:type="dxa"/>
              <w:start w:w="120" w:type="dxa"/>
              <w:bottom w:w="80" w:type="dxa"/>
              <w:end w:w="120" w:type="dxa"/>
            </w:tcMar>
            <w:vAlign w:val="center"/>
          </w:tcPr>
          <w:p>
            <w:pPr>
              <w:spacing w:after="40" w:line="252" w:lineRule="auto"/>
            </w:pPr>
            <w:r>
              <w:rPr>
                <w:color w:val="243746"/>
                <w:sz w:val="18"/>
              </w:rPr>
              <w:t>Recorded isolation assertions and accepted results.</w:t>
            </w:r>
          </w:p>
        </w:tc>
      </w:tr>
      <w:tr>
        <w:trPr>
          <w:cantSplit w:val="true"/>
        </w:trPr>
        <w:tc>
          <w:tcPr>
            <w:tcW w:type="dxa" w:w="1500"/>
            <w:tcMar>
              <w:top w:w="80" w:type="dxa"/>
              <w:start w:w="120" w:type="dxa"/>
              <w:bottom w:w="80" w:type="dxa"/>
              <w:end w:w="120" w:type="dxa"/>
            </w:tcMar>
            <w:vAlign w:val="center"/>
          </w:tcPr>
          <w:p>
            <w:pPr>
              <w:spacing w:after="40" w:line="252" w:lineRule="auto"/>
            </w:pPr>
            <w:r>
              <w:rPr>
                <w:color w:val="243746"/>
                <w:sz w:val="18"/>
              </w:rPr>
              <w:t>Recovery exercise</w:t>
            </w:r>
          </w:p>
        </w:tc>
        <w:tc>
          <w:tcPr>
            <w:tcW w:type="dxa" w:w="5000"/>
            <w:tcMar>
              <w:top w:w="80" w:type="dxa"/>
              <w:start w:w="120" w:type="dxa"/>
              <w:bottom w:w="80" w:type="dxa"/>
              <w:end w:w="120" w:type="dxa"/>
            </w:tcMar>
            <w:vAlign w:val="center"/>
          </w:tcPr>
          <w:p>
            <w:pPr>
              <w:spacing w:after="40" w:line="252" w:lineRule="auto"/>
            </w:pPr>
            <w:r>
              <w:rPr>
                <w:color w:val="243746"/>
                <w:sz w:val="18"/>
              </w:rPr>
              <w:t>Simulated suspected cross-tenant event and break-glass workflow.</w:t>
            </w:r>
          </w:p>
        </w:tc>
        <w:tc>
          <w:tcPr>
            <w:tcW w:type="dxa" w:w="2860"/>
            <w:tcMar>
              <w:top w:w="80" w:type="dxa"/>
              <w:start w:w="120" w:type="dxa"/>
              <w:bottom w:w="80" w:type="dxa"/>
              <w:end w:w="120" w:type="dxa"/>
            </w:tcMar>
            <w:vAlign w:val="center"/>
          </w:tcPr>
          <w:p>
            <w:pPr>
              <w:spacing w:after="40" w:line="252" w:lineRule="auto"/>
            </w:pPr>
            <w:r>
              <w:rPr>
                <w:color w:val="243746"/>
                <w:sz w:val="18"/>
              </w:rPr>
              <w:t>Alert, containment, evidence preservation, expiry, and retrospective review completed.</w:t>
            </w:r>
          </w:p>
        </w:tc>
      </w:tr>
    </w:tbl>
    <w:p>
      <w:pPr>
        <w:spacing w:after="40"/>
      </w:pPr>
    </w:p>
    <w:p>
      <w:pPr>
        <w:pStyle w:val="Heading1"/>
      </w:pPr>
      <w:r>
        <w:t>12. Rollout and operational readiness</w:t>
      </w:r>
    </w:p>
    <w:p>
      <w:pPr>
        <w:pStyle w:val="ListBullet"/>
      </w:pPr>
      <w:r>
        <w:t>Confirm implementation and evidence for accepted ADR-001, including security/privacy sign-off on its compensating controls, before handling production PHI.</w:t>
      </w:r>
    </w:p>
    <w:p>
      <w:pPr>
        <w:pStyle w:val="ListBullet"/>
      </w:pPr>
      <w:r>
        <w:t>Create database roles, grants manifest, trusted registry, shared-column classification manifest, and migration ledger in non-production.</w:t>
      </w:r>
    </w:p>
    <w:p>
      <w:pPr>
        <w:pStyle w:val="ListBullet"/>
      </w:pPr>
      <w:r>
        <w:t>Implement the context library and tenant transaction gateway; block direct pool imports outside owned infrastructure modules.</w:t>
      </w:r>
    </w:p>
    <w:p>
      <w:pPr>
        <w:pStyle w:val="ListBullet"/>
      </w:pPr>
      <w:r>
        <w:t>Provision at least two synthetic tenants and pass the full negative isolation and resource-fairness suite, including connection reuse, concurrency, and noisy-neighbor saturation.</w:t>
      </w:r>
    </w:p>
    <w:p>
      <w:pPr>
        <w:pStyle w:val="ListBullet"/>
      </w:pPr>
      <w:r>
        <w:t>Canary dependent modules in shadow/read-only mode where feasible; compare expected tenant routing and audit events.</w:t>
      </w:r>
    </w:p>
    <w:p>
      <w:pPr>
        <w:pStyle w:val="ListBullet"/>
      </w:pPr>
      <w:r>
        <w:t>Enable production tenant provisioning behind a feature flag/change control, beginning with a limited pilot.</w:t>
      </w:r>
    </w:p>
    <w:p>
      <w:pPr>
        <w:pStyle w:val="ListBullet"/>
      </w:pPr>
      <w:r>
        <w:t>Monitor reset/discard, denial, schema-version, mismatch, and per-tenant resource-pressure metrics; define rollback thresholds and owners.</w:t>
      </w:r>
    </w:p>
    <w:p>
      <w:pPr>
        <w:pStyle w:val="ListBullet"/>
      </w:pPr>
      <w:r>
        <w:t>Exercise support access, break-glass, migration recovery, incident containment, and tenant decommission runbooks before general availability.</w:t>
      </w:r>
    </w:p>
    <w:p>
      <w:pPr>
        <w:pStyle w:val="Heading2"/>
      </w:pPr>
      <w:r>
        <w:t>12.1 Rollback</w:t>
      </w:r>
    </w:p>
    <w:p>
      <w:r>
        <w:t>Rollback shall disable new tenant activation and affected dependent workflows, drain or quarantine in-flight work, restore the last compatible application/migration combination, revoke temporary support or migration grants, verify pool turnover, and reconcile operations before resumption. Database changes that are not safely reversible require an approved forward-fix plan and compatibility window.</w:t>
      </w:r>
    </w:p>
    <w:p>
      <w:pPr>
        <w:pStyle w:val="Heading1"/>
      </w:pPr>
      <w:r>
        <w:t>13. Accepted decision and open items</w:t>
      </w:r>
    </w:p>
    <w:p>
      <w:r>
        <w:rPr>
          <w:b/>
          <w:color w:val="16324F"/>
        </w:rPr>
        <w:t xml:space="preserve">Accepted architecture decision — ADR-001. </w:t>
      </w:r>
      <w:r>
        <w:t>Accepted 2 August 2026: use schema-per-tenant with application-enforced isolation and the documented compensating controls. Per-tenant database roles remain a deferred stronger-isolation option, to be reconsidered after an isolation incident or when the evidence-based scale trigger is reached. Production readiness still requires security and privacy sign-off that the accepted controls are implemented and verified.</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150"/>
        <w:gridCol w:w="4650"/>
        <w:gridCol w:w="1900"/>
        <w:gridCol w:w="1660"/>
      </w:tblGrid>
      <w:tr>
        <w:trPr>
          <w:tblHeader w:val="true"/>
          <w:cantSplit w:val="true"/>
        </w:trPr>
        <w:tc>
          <w:tcPr>
            <w:tcW w:type="dxa" w:w="1150"/>
            <w:shd w:fill="E8EEF5"/>
            <w:tcMar>
              <w:top w:w="80" w:type="dxa"/>
              <w:start w:w="120" w:type="dxa"/>
              <w:bottom w:w="80" w:type="dxa"/>
              <w:end w:w="120" w:type="dxa"/>
            </w:tcMar>
            <w:vAlign w:val="center"/>
          </w:tcPr>
          <w:p>
            <w:r>
              <w:rPr>
                <w:b/>
                <w:color w:val="16324F"/>
                <w:sz w:val="18"/>
              </w:rPr>
              <w:t>ID</w:t>
            </w:r>
          </w:p>
        </w:tc>
        <w:tc>
          <w:tcPr>
            <w:tcW w:type="dxa" w:w="4650"/>
            <w:shd w:fill="E8EEF5"/>
            <w:tcMar>
              <w:top w:w="80" w:type="dxa"/>
              <w:start w:w="120" w:type="dxa"/>
              <w:bottom w:w="80" w:type="dxa"/>
              <w:end w:w="120" w:type="dxa"/>
            </w:tcMar>
            <w:vAlign w:val="center"/>
          </w:tcPr>
          <w:p>
            <w:r>
              <w:rPr>
                <w:b/>
                <w:color w:val="16324F"/>
                <w:sz w:val="18"/>
              </w:rPr>
              <w:t>Open decision / confirmation</w:t>
            </w:r>
          </w:p>
        </w:tc>
        <w:tc>
          <w:tcPr>
            <w:tcW w:type="dxa" w:w="1900"/>
            <w:shd w:fill="E8EEF5"/>
            <w:tcMar>
              <w:top w:w="80" w:type="dxa"/>
              <w:start w:w="120" w:type="dxa"/>
              <w:bottom w:w="80" w:type="dxa"/>
              <w:end w:w="120" w:type="dxa"/>
            </w:tcMar>
            <w:vAlign w:val="center"/>
          </w:tcPr>
          <w:p>
            <w:r>
              <w:rPr>
                <w:b/>
                <w:color w:val="16324F"/>
                <w:sz w:val="18"/>
              </w:rPr>
              <w:t>Owner</w:t>
            </w:r>
          </w:p>
        </w:tc>
        <w:tc>
          <w:tcPr>
            <w:tcW w:type="dxa" w:w="1660"/>
            <w:shd w:fill="E8EEF5"/>
            <w:tcMar>
              <w:top w:w="80" w:type="dxa"/>
              <w:start w:w="120" w:type="dxa"/>
              <w:bottom w:w="80" w:type="dxa"/>
              <w:end w:w="120" w:type="dxa"/>
            </w:tcMar>
            <w:vAlign w:val="center"/>
          </w:tcPr>
          <w:p>
            <w:r>
              <w:rPr>
                <w:b/>
                <w:color w:val="16324F"/>
                <w:sz w:val="18"/>
              </w:rPr>
              <w:t>Required by</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M01-OI-001</w:t>
            </w:r>
          </w:p>
        </w:tc>
        <w:tc>
          <w:tcPr>
            <w:tcW w:type="dxa" w:w="4650"/>
            <w:tcMar>
              <w:top w:w="80" w:type="dxa"/>
              <w:start w:w="120" w:type="dxa"/>
              <w:bottom w:w="80" w:type="dxa"/>
              <w:end w:w="120" w:type="dxa"/>
            </w:tcMar>
            <w:vAlign w:val="center"/>
          </w:tcPr>
          <w:p>
            <w:pPr>
              <w:spacing w:after="40" w:line="252" w:lineRule="auto"/>
            </w:pPr>
            <w:r>
              <w:rPr>
                <w:color w:val="243746"/>
                <w:sz w:val="18"/>
              </w:rPr>
              <w:t>Select PostgreSQL driver/pool reset contract and define prohibited session state.</w:t>
            </w:r>
          </w:p>
        </w:tc>
        <w:tc>
          <w:tcPr>
            <w:tcW w:type="dxa" w:w="1900"/>
            <w:tcMar>
              <w:top w:w="80" w:type="dxa"/>
              <w:start w:w="120" w:type="dxa"/>
              <w:bottom w:w="80" w:type="dxa"/>
              <w:end w:w="120" w:type="dxa"/>
            </w:tcMar>
            <w:vAlign w:val="center"/>
          </w:tcPr>
          <w:p>
            <w:pPr>
              <w:spacing w:after="40" w:line="252" w:lineRule="auto"/>
            </w:pPr>
            <w:r>
              <w:rPr>
                <w:color w:val="243746"/>
                <w:sz w:val="18"/>
              </w:rPr>
              <w:t>Platform Engineering</w:t>
            </w:r>
          </w:p>
        </w:tc>
        <w:tc>
          <w:tcPr>
            <w:tcW w:type="dxa" w:w="1660"/>
            <w:tcMar>
              <w:top w:w="80" w:type="dxa"/>
              <w:start w:w="120" w:type="dxa"/>
              <w:bottom w:w="80" w:type="dxa"/>
              <w:end w:w="120" w:type="dxa"/>
            </w:tcMar>
            <w:vAlign w:val="center"/>
          </w:tcPr>
          <w:p>
            <w:pPr>
              <w:spacing w:after="40" w:line="252" w:lineRule="auto"/>
            </w:pPr>
            <w:r>
              <w:rPr>
                <w:color w:val="243746"/>
                <w:sz w:val="18"/>
              </w:rPr>
              <w:t>Before implementation</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M01-OI-002</w:t>
            </w:r>
          </w:p>
        </w:tc>
        <w:tc>
          <w:tcPr>
            <w:tcW w:type="dxa" w:w="4650"/>
            <w:tcMar>
              <w:top w:w="80" w:type="dxa"/>
              <w:start w:w="120" w:type="dxa"/>
              <w:bottom w:w="80" w:type="dxa"/>
              <w:end w:w="120" w:type="dxa"/>
            </w:tcMar>
            <w:vAlign w:val="center"/>
          </w:tcPr>
          <w:p>
            <w:pPr>
              <w:spacing w:after="40" w:line="252" w:lineRule="auto"/>
            </w:pPr>
            <w:r>
              <w:rPr>
                <w:color w:val="243746"/>
                <w:sz w:val="18"/>
              </w:rPr>
              <w:t>Define identity claims, capability vocabulary, and trusted service-to-service context.</w:t>
            </w:r>
          </w:p>
        </w:tc>
        <w:tc>
          <w:tcPr>
            <w:tcW w:type="dxa" w:w="1900"/>
            <w:tcMar>
              <w:top w:w="80" w:type="dxa"/>
              <w:start w:w="120" w:type="dxa"/>
              <w:bottom w:w="80" w:type="dxa"/>
              <w:end w:w="120" w:type="dxa"/>
            </w:tcMar>
            <w:vAlign w:val="center"/>
          </w:tcPr>
          <w:p>
            <w:pPr>
              <w:spacing w:after="40" w:line="252" w:lineRule="auto"/>
            </w:pPr>
            <w:r>
              <w:rPr>
                <w:color w:val="243746"/>
                <w:sz w:val="18"/>
              </w:rPr>
              <w:t>Identity/Security</w:t>
            </w:r>
          </w:p>
        </w:tc>
        <w:tc>
          <w:tcPr>
            <w:tcW w:type="dxa" w:w="1660"/>
            <w:tcMar>
              <w:top w:w="80" w:type="dxa"/>
              <w:start w:w="120" w:type="dxa"/>
              <w:bottom w:w="80" w:type="dxa"/>
              <w:end w:w="120" w:type="dxa"/>
            </w:tcMar>
            <w:vAlign w:val="center"/>
          </w:tcPr>
          <w:p>
            <w:pPr>
              <w:spacing w:after="40" w:line="252" w:lineRule="auto"/>
            </w:pPr>
            <w:r>
              <w:rPr>
                <w:color w:val="243746"/>
                <w:sz w:val="18"/>
              </w:rPr>
              <w:t>Before gateway API freeze</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M01-OI-003</w:t>
            </w:r>
          </w:p>
        </w:tc>
        <w:tc>
          <w:tcPr>
            <w:tcW w:type="dxa" w:w="4650"/>
            <w:tcMar>
              <w:top w:w="80" w:type="dxa"/>
              <w:start w:w="120" w:type="dxa"/>
              <w:bottom w:w="80" w:type="dxa"/>
              <w:end w:w="120" w:type="dxa"/>
            </w:tcMar>
            <w:vAlign w:val="center"/>
          </w:tcPr>
          <w:p>
            <w:pPr>
              <w:spacing w:after="40" w:line="252" w:lineRule="auto"/>
            </w:pPr>
            <w:r>
              <w:rPr>
                <w:color w:val="243746"/>
                <w:sz w:val="18"/>
              </w:rPr>
              <w:t>Set tenant lifecycle authorization matrix and suspension semantics.</w:t>
            </w:r>
          </w:p>
        </w:tc>
        <w:tc>
          <w:tcPr>
            <w:tcW w:type="dxa" w:w="1900"/>
            <w:tcMar>
              <w:top w:w="80" w:type="dxa"/>
              <w:start w:w="120" w:type="dxa"/>
              <w:bottom w:w="80" w:type="dxa"/>
              <w:end w:w="120" w:type="dxa"/>
            </w:tcMar>
            <w:vAlign w:val="center"/>
          </w:tcPr>
          <w:p>
            <w:pPr>
              <w:spacing w:after="40" w:line="252" w:lineRule="auto"/>
            </w:pPr>
            <w:r>
              <w:rPr>
                <w:color w:val="243746"/>
                <w:sz w:val="18"/>
              </w:rPr>
              <w:t>Product + Operations + Compliance</w:t>
            </w:r>
          </w:p>
        </w:tc>
        <w:tc>
          <w:tcPr>
            <w:tcW w:type="dxa" w:w="1660"/>
            <w:tcMar>
              <w:top w:w="80" w:type="dxa"/>
              <w:start w:w="120" w:type="dxa"/>
              <w:bottom w:w="80" w:type="dxa"/>
              <w:end w:w="120" w:type="dxa"/>
            </w:tcMar>
            <w:vAlign w:val="center"/>
          </w:tcPr>
          <w:p>
            <w:pPr>
              <w:spacing w:after="40" w:line="252" w:lineRule="auto"/>
            </w:pPr>
            <w:r>
              <w:rPr>
                <w:color w:val="243746"/>
                <w:sz w:val="18"/>
              </w:rPr>
              <w:t>Before provisioning pilot</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M01-OI-004</w:t>
            </w:r>
          </w:p>
        </w:tc>
        <w:tc>
          <w:tcPr>
            <w:tcW w:type="dxa" w:w="4650"/>
            <w:tcMar>
              <w:top w:w="80" w:type="dxa"/>
              <w:start w:w="120" w:type="dxa"/>
              <w:bottom w:w="80" w:type="dxa"/>
              <w:end w:w="120" w:type="dxa"/>
            </w:tcMar>
            <w:vAlign w:val="center"/>
          </w:tcPr>
          <w:p>
            <w:pPr>
              <w:spacing w:after="40" w:line="252" w:lineRule="auto"/>
            </w:pPr>
            <w:r>
              <w:rPr>
                <w:color w:val="243746"/>
                <w:sz w:val="18"/>
              </w:rPr>
              <w:t>Approve support-access workflow, retention, break-glass approvals, and customer notice policy.</w:t>
            </w:r>
          </w:p>
        </w:tc>
        <w:tc>
          <w:tcPr>
            <w:tcW w:type="dxa" w:w="1900"/>
            <w:tcMar>
              <w:top w:w="80" w:type="dxa"/>
              <w:start w:w="120" w:type="dxa"/>
              <w:bottom w:w="80" w:type="dxa"/>
              <w:end w:w="120" w:type="dxa"/>
            </w:tcMar>
            <w:vAlign w:val="center"/>
          </w:tcPr>
          <w:p>
            <w:pPr>
              <w:spacing w:after="40" w:line="252" w:lineRule="auto"/>
            </w:pPr>
            <w:r>
              <w:rPr>
                <w:color w:val="243746"/>
                <w:sz w:val="18"/>
              </w:rPr>
              <w:t>Security + Privacy + Operations</w:t>
            </w:r>
          </w:p>
        </w:tc>
        <w:tc>
          <w:tcPr>
            <w:tcW w:type="dxa" w:w="1660"/>
            <w:tcMar>
              <w:top w:w="80" w:type="dxa"/>
              <w:start w:w="120" w:type="dxa"/>
              <w:bottom w:w="80" w:type="dxa"/>
              <w:end w:w="120" w:type="dxa"/>
            </w:tcMar>
            <w:vAlign w:val="center"/>
          </w:tcPr>
          <w:p>
            <w:pPr>
              <w:spacing w:after="40" w:line="252" w:lineRule="auto"/>
            </w:pPr>
            <w:r>
              <w:rPr>
                <w:color w:val="243746"/>
                <w:sz w:val="18"/>
              </w:rPr>
              <w:t>Before support use</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M01-OI-005</w:t>
            </w:r>
          </w:p>
        </w:tc>
        <w:tc>
          <w:tcPr>
            <w:tcW w:type="dxa" w:w="4650"/>
            <w:tcMar>
              <w:top w:w="80" w:type="dxa"/>
              <w:start w:w="120" w:type="dxa"/>
              <w:bottom w:w="80" w:type="dxa"/>
              <w:end w:w="120" w:type="dxa"/>
            </w:tcMar>
            <w:vAlign w:val="center"/>
          </w:tcPr>
          <w:p>
            <w:pPr>
              <w:spacing w:after="40" w:line="252" w:lineRule="auto"/>
            </w:pPr>
            <w:r>
              <w:rPr>
                <w:color w:val="243746"/>
                <w:sz w:val="18"/>
              </w:rPr>
              <w:t>Set migration compatibility, canary, rollback/forward-fix, and maintenance-window policy.</w:t>
            </w:r>
          </w:p>
        </w:tc>
        <w:tc>
          <w:tcPr>
            <w:tcW w:type="dxa" w:w="1900"/>
            <w:tcMar>
              <w:top w:w="80" w:type="dxa"/>
              <w:start w:w="120" w:type="dxa"/>
              <w:bottom w:w="80" w:type="dxa"/>
              <w:end w:w="120" w:type="dxa"/>
            </w:tcMar>
            <w:vAlign w:val="center"/>
          </w:tcPr>
          <w:p>
            <w:pPr>
              <w:spacing w:after="40" w:line="252" w:lineRule="auto"/>
            </w:pPr>
            <w:r>
              <w:rPr>
                <w:color w:val="243746"/>
                <w:sz w:val="18"/>
              </w:rPr>
              <w:t>Platform + SRE</w:t>
            </w:r>
          </w:p>
        </w:tc>
        <w:tc>
          <w:tcPr>
            <w:tcW w:type="dxa" w:w="1660"/>
            <w:tcMar>
              <w:top w:w="80" w:type="dxa"/>
              <w:start w:w="120" w:type="dxa"/>
              <w:bottom w:w="80" w:type="dxa"/>
              <w:end w:w="120" w:type="dxa"/>
            </w:tcMar>
            <w:vAlign w:val="center"/>
          </w:tcPr>
          <w:p>
            <w:pPr>
              <w:spacing w:after="40" w:line="252" w:lineRule="auto"/>
            </w:pPr>
            <w:r>
              <w:rPr>
                <w:color w:val="243746"/>
                <w:sz w:val="18"/>
              </w:rPr>
              <w:t>Before first production migration</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M01-OI-006</w:t>
            </w:r>
          </w:p>
        </w:tc>
        <w:tc>
          <w:tcPr>
            <w:tcW w:type="dxa" w:w="4650"/>
            <w:tcMar>
              <w:top w:w="80" w:type="dxa"/>
              <w:start w:w="120" w:type="dxa"/>
              <w:bottom w:w="80" w:type="dxa"/>
              <w:end w:w="120" w:type="dxa"/>
            </w:tcMar>
            <w:vAlign w:val="center"/>
          </w:tcPr>
          <w:p>
            <w:pPr>
              <w:spacing w:after="40" w:line="252" w:lineRule="auto"/>
            </w:pPr>
            <w:r>
              <w:rPr>
                <w:color w:val="243746"/>
                <w:sz w:val="18"/>
              </w:rPr>
              <w:t>Approve service objectives, resource-fairness objectives, and measurable performance thresholds from baseline tests.</w:t>
            </w:r>
          </w:p>
        </w:tc>
        <w:tc>
          <w:tcPr>
            <w:tcW w:type="dxa" w:w="1900"/>
            <w:tcMar>
              <w:top w:w="80" w:type="dxa"/>
              <w:start w:w="120" w:type="dxa"/>
              <w:bottom w:w="80" w:type="dxa"/>
              <w:end w:w="120" w:type="dxa"/>
            </w:tcMar>
            <w:vAlign w:val="center"/>
          </w:tcPr>
          <w:p>
            <w:pPr>
              <w:spacing w:after="40" w:line="252" w:lineRule="auto"/>
            </w:pPr>
            <w:r>
              <w:rPr>
                <w:color w:val="243746"/>
                <w:sz w:val="18"/>
              </w:rPr>
              <w:t>Product + SRE</w:t>
            </w:r>
          </w:p>
        </w:tc>
        <w:tc>
          <w:tcPr>
            <w:tcW w:type="dxa" w:w="1660"/>
            <w:tcMar>
              <w:top w:w="80" w:type="dxa"/>
              <w:start w:w="120" w:type="dxa"/>
              <w:bottom w:w="80" w:type="dxa"/>
              <w:end w:w="120" w:type="dxa"/>
            </w:tcMar>
            <w:vAlign w:val="center"/>
          </w:tcPr>
          <w:p>
            <w:pPr>
              <w:spacing w:after="40" w:line="252" w:lineRule="auto"/>
            </w:pPr>
            <w:r>
              <w:rPr>
                <w:color w:val="243746"/>
                <w:sz w:val="18"/>
              </w:rPr>
              <w:t>Before production readiness</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M01-OI-007</w:t>
            </w:r>
          </w:p>
        </w:tc>
        <w:tc>
          <w:tcPr>
            <w:tcW w:type="dxa" w:w="4650"/>
            <w:tcMar>
              <w:top w:w="80" w:type="dxa"/>
              <w:start w:w="120" w:type="dxa"/>
              <w:bottom w:w="80" w:type="dxa"/>
              <w:end w:w="120" w:type="dxa"/>
            </w:tcMar>
            <w:vAlign w:val="center"/>
          </w:tcPr>
          <w:p>
            <w:pPr>
              <w:spacing w:after="40" w:line="252" w:lineRule="auto"/>
            </w:pPr>
            <w:r>
              <w:rPr>
                <w:color w:val="243746"/>
                <w:sz w:val="18"/>
              </w:rPr>
              <w:t>Replace the provisional 50-tenant planning trigger with an evidence-based review threshold and confirm earlier contractual or regulatory triggers.</w:t>
            </w:r>
          </w:p>
        </w:tc>
        <w:tc>
          <w:tcPr>
            <w:tcW w:type="dxa" w:w="1900"/>
            <w:tcMar>
              <w:top w:w="80" w:type="dxa"/>
              <w:start w:w="120" w:type="dxa"/>
              <w:bottom w:w="80" w:type="dxa"/>
              <w:end w:w="120" w:type="dxa"/>
            </w:tcMar>
            <w:vAlign w:val="center"/>
          </w:tcPr>
          <w:p>
            <w:pPr>
              <w:spacing w:after="40" w:line="252" w:lineRule="auto"/>
            </w:pPr>
            <w:r>
              <w:rPr>
                <w:color w:val="243746"/>
                <w:sz w:val="18"/>
              </w:rPr>
              <w:t>Architecture + Security</w:t>
            </w:r>
          </w:p>
        </w:tc>
        <w:tc>
          <w:tcPr>
            <w:tcW w:type="dxa" w:w="1660"/>
            <w:tcMar>
              <w:top w:w="80" w:type="dxa"/>
              <w:start w:w="120" w:type="dxa"/>
              <w:bottom w:w="80" w:type="dxa"/>
              <w:end w:w="120" w:type="dxa"/>
            </w:tcMar>
            <w:vAlign w:val="center"/>
          </w:tcPr>
          <w:p>
            <w:pPr>
              <w:spacing w:after="40" w:line="252" w:lineRule="auto"/>
            </w:pPr>
            <w:r>
              <w:rPr>
                <w:color w:val="243746"/>
                <w:sz w:val="18"/>
              </w:rPr>
              <w:t>Before general availability</w:t>
            </w:r>
          </w:p>
        </w:tc>
      </w:tr>
      <w:tr>
        <w:trPr>
          <w:cantSplit w:val="true"/>
        </w:trPr>
        <w:tc>
          <w:tcPr>
            <w:tcW w:type="dxa" w:w="1150"/>
            <w:tcMar>
              <w:top w:w="80" w:type="dxa"/>
              <w:start w:w="120" w:type="dxa"/>
              <w:bottom w:w="80" w:type="dxa"/>
              <w:end w:w="120" w:type="dxa"/>
            </w:tcMar>
            <w:vAlign w:val="center"/>
          </w:tcPr>
          <w:p>
            <w:pPr>
              <w:spacing w:after="40" w:line="252" w:lineRule="auto"/>
            </w:pPr>
            <w:r>
              <w:rPr>
                <w:color w:val="243746"/>
                <w:sz w:val="18"/>
              </w:rPr>
              <w:t>M01-OI-008</w:t>
            </w:r>
          </w:p>
        </w:tc>
        <w:tc>
          <w:tcPr>
            <w:tcW w:type="dxa" w:w="4650"/>
            <w:tcMar>
              <w:top w:w="80" w:type="dxa"/>
              <w:start w:w="120" w:type="dxa"/>
              <w:bottom w:w="80" w:type="dxa"/>
              <w:end w:w="120" w:type="dxa"/>
            </w:tcMar>
            <w:vAlign w:val="center"/>
          </w:tcPr>
          <w:p>
            <w:pPr>
              <w:spacing w:after="40" w:line="252" w:lineRule="auto"/>
            </w:pPr>
            <w:r>
              <w:rPr>
                <w:color w:val="243746"/>
                <w:sz w:val="18"/>
              </w:rPr>
              <w:t>Confirm the proposed M01 shared tables and names in the canonical shared-table inventory.</w:t>
            </w:r>
          </w:p>
        </w:tc>
        <w:tc>
          <w:tcPr>
            <w:tcW w:type="dxa" w:w="1900"/>
            <w:tcMar>
              <w:top w:w="80" w:type="dxa"/>
              <w:start w:w="120" w:type="dxa"/>
              <w:bottom w:w="80" w:type="dxa"/>
              <w:end w:w="120" w:type="dxa"/>
            </w:tcMar>
            <w:vAlign w:val="center"/>
          </w:tcPr>
          <w:p>
            <w:pPr>
              <w:spacing w:after="40" w:line="252" w:lineRule="auto"/>
            </w:pPr>
            <w:r>
              <w:rPr>
                <w:color w:val="243746"/>
                <w:sz w:val="18"/>
              </w:rPr>
              <w:t>Data Architecture + Security</w:t>
            </w:r>
          </w:p>
        </w:tc>
        <w:tc>
          <w:tcPr>
            <w:tcW w:type="dxa" w:w="1660"/>
            <w:tcMar>
              <w:top w:w="80" w:type="dxa"/>
              <w:start w:w="120" w:type="dxa"/>
              <w:bottom w:w="80" w:type="dxa"/>
              <w:end w:w="120" w:type="dxa"/>
            </w:tcMar>
            <w:vAlign w:val="center"/>
          </w:tcPr>
          <w:p>
            <w:pPr>
              <w:spacing w:after="40" w:line="252" w:lineRule="auto"/>
            </w:pPr>
            <w:r>
              <w:rPr>
                <w:color w:val="243746"/>
                <w:sz w:val="18"/>
              </w:rPr>
              <w:t>Before schema design freeze</w:t>
            </w:r>
          </w:p>
        </w:tc>
      </w:tr>
    </w:tbl>
    <w:p>
      <w:pPr>
        <w:spacing w:after="40"/>
      </w:pPr>
    </w:p>
    <w:p>
      <w:pPr>
        <w:pStyle w:val="Heading1"/>
      </w:pPr>
      <w:r>
        <w:t>14. Definition of done</w:t>
      </w:r>
    </w:p>
    <w:p>
      <w:pPr>
        <w:pStyle w:val="ListBullet"/>
      </w:pPr>
      <w:r>
        <w:t>Scope, non-goals, contracts, schema rules, transaction behavior, failures, security controls, observability, rollout, and acceptance criteria are approved.</w:t>
      </w:r>
    </w:p>
    <w:p>
      <w:pPr>
        <w:pStyle w:val="ListBullet"/>
      </w:pPr>
      <w:r>
        <w:t>Accepted ADR-001 controls are implemented and evidenced; all production-blocking M01 open items are resolved or formally accepted by named owners.</w:t>
      </w:r>
    </w:p>
    <w:p>
      <w:pPr>
        <w:pStyle w:val="ListBullet"/>
      </w:pPr>
      <w:r>
        <w:t>Gateway and registry APIs are versioned; direct tenant data access outside the gateway is prevented and checked.</w:t>
      </w:r>
    </w:p>
    <w:p>
      <w:pPr>
        <w:pStyle w:val="ListBullet"/>
      </w:pPr>
      <w:r>
        <w:t>Production-like tests pass for at least two tenants, including all negative cross-tenant, pool-contamination, concurrency, and noisy-neighbor scenarios.</w:t>
      </w:r>
    </w:p>
    <w:p>
      <w:pPr>
        <w:pStyle w:val="ListBullet"/>
      </w:pPr>
      <w:r>
        <w:t>The shared-column classification manifest is complete and enforced by CI.</w:t>
      </w:r>
    </w:p>
    <w:p>
      <w:pPr>
        <w:pStyle w:val="ListBullet"/>
      </w:pPr>
      <w:r>
        <w:t>Grants, migrations, support access, break-glass, rollback, and incident runbooks are exercised and evidence is retained.</w:t>
      </w:r>
    </w:p>
    <w:p>
      <w:pPr>
        <w:pStyle w:val="ListBullet"/>
      </w:pPr>
      <w:r>
        <w:t>Dashboards and alerts are live, PHI-safe, owned, and connected to on-call procedures.</w:t>
      </w:r>
    </w:p>
    <w:p>
      <w:pPr>
        <w:pStyle w:val="ListBullet"/>
      </w:pPr>
      <w:r>
        <w:t>No unresolved critical or high security/privacy defects remain.</w:t>
      </w:r>
    </w:p>
    <w:p>
      <w:pPr>
        <w:pStyle w:val="Heading1"/>
      </w:pPr>
      <w:r>
        <w:t>Appendix A — Traceability matrix</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3500"/>
        <w:gridCol w:w="5860"/>
      </w:tblGrid>
      <w:tr>
        <w:trPr>
          <w:tblHeader w:val="true"/>
          <w:cantSplit w:val="true"/>
        </w:trPr>
        <w:tc>
          <w:tcPr>
            <w:tcW w:type="dxa" w:w="3500"/>
            <w:shd w:fill="E8EEF5"/>
            <w:tcMar>
              <w:top w:w="80" w:type="dxa"/>
              <w:start w:w="120" w:type="dxa"/>
              <w:bottom w:w="80" w:type="dxa"/>
              <w:end w:w="120" w:type="dxa"/>
            </w:tcMar>
            <w:vAlign w:val="center"/>
          </w:tcPr>
          <w:p>
            <w:r>
              <w:rPr>
                <w:b/>
                <w:color w:val="16324F"/>
                <w:sz w:val="18"/>
              </w:rPr>
              <w:t>Architecture commitment</w:t>
            </w:r>
          </w:p>
        </w:tc>
        <w:tc>
          <w:tcPr>
            <w:tcW w:type="dxa" w:w="5860"/>
            <w:shd w:fill="E8EEF5"/>
            <w:tcMar>
              <w:top w:w="80" w:type="dxa"/>
              <w:start w:w="120" w:type="dxa"/>
              <w:bottom w:w="80" w:type="dxa"/>
              <w:end w:w="120" w:type="dxa"/>
            </w:tcMar>
            <w:vAlign w:val="center"/>
          </w:tcPr>
          <w:p>
            <w:r>
              <w:rPr>
                <w:b/>
                <w:color w:val="16324F"/>
                <w:sz w:val="18"/>
              </w:rPr>
              <w:t>Requirements</w:t>
            </w:r>
          </w:p>
        </w:tc>
      </w:tr>
      <w:tr>
        <w:trPr>
          <w:cantSplit w:val="true"/>
        </w:trPr>
        <w:tc>
          <w:tcPr>
            <w:tcW w:type="dxa" w:w="3500"/>
            <w:tcMar>
              <w:top w:w="80" w:type="dxa"/>
              <w:start w:w="120" w:type="dxa"/>
              <w:bottom w:w="80" w:type="dxa"/>
              <w:end w:w="120" w:type="dxa"/>
            </w:tcMar>
            <w:vAlign w:val="center"/>
          </w:tcPr>
          <w:p>
            <w:pPr>
              <w:spacing w:after="40" w:line="252" w:lineRule="auto"/>
            </w:pPr>
            <w:r>
              <w:rPr>
                <w:color w:val="243746"/>
                <w:sz w:val="18"/>
              </w:rPr>
              <w:t>Shared + tenant schemas</w:t>
            </w:r>
          </w:p>
        </w:tc>
        <w:tc>
          <w:tcPr>
            <w:tcW w:type="dxa" w:w="5860"/>
            <w:tcMar>
              <w:top w:w="80" w:type="dxa"/>
              <w:start w:w="120" w:type="dxa"/>
              <w:bottom w:w="80" w:type="dxa"/>
              <w:end w:w="120" w:type="dxa"/>
            </w:tcMar>
            <w:vAlign w:val="center"/>
          </w:tcPr>
          <w:p>
            <w:pPr>
              <w:spacing w:after="40" w:line="252" w:lineRule="auto"/>
            </w:pPr>
            <w:r>
              <w:rPr>
                <w:color w:val="243746"/>
                <w:sz w:val="18"/>
              </w:rPr>
              <w:t>FR-001, 002, 012, 017–019</w:t>
            </w:r>
          </w:p>
        </w:tc>
      </w:tr>
      <w:tr>
        <w:trPr>
          <w:cantSplit w:val="true"/>
        </w:trPr>
        <w:tc>
          <w:tcPr>
            <w:tcW w:type="dxa" w:w="3500"/>
            <w:tcMar>
              <w:top w:w="80" w:type="dxa"/>
              <w:start w:w="120" w:type="dxa"/>
              <w:bottom w:w="80" w:type="dxa"/>
              <w:end w:w="120" w:type="dxa"/>
            </w:tcMar>
            <w:vAlign w:val="center"/>
          </w:tcPr>
          <w:p>
            <w:pPr>
              <w:spacing w:after="40" w:line="252" w:lineRule="auto"/>
            </w:pPr>
            <w:r>
              <w:rPr>
                <w:color w:val="243746"/>
                <w:sz w:val="18"/>
              </w:rPr>
              <w:t>Trusted schema registry</w:t>
            </w:r>
          </w:p>
        </w:tc>
        <w:tc>
          <w:tcPr>
            <w:tcW w:type="dxa" w:w="5860"/>
            <w:tcMar>
              <w:top w:w="80" w:type="dxa"/>
              <w:start w:w="120" w:type="dxa"/>
              <w:bottom w:w="80" w:type="dxa"/>
              <w:end w:w="120" w:type="dxa"/>
            </w:tcMar>
            <w:vAlign w:val="center"/>
          </w:tcPr>
          <w:p>
            <w:pPr>
              <w:spacing w:after="40" w:line="252" w:lineRule="auto"/>
            </w:pPr>
            <w:r>
              <w:rPr>
                <w:color w:val="243746"/>
                <w:sz w:val="18"/>
              </w:rPr>
              <w:t>FR-001, 003, 007</w:t>
            </w:r>
          </w:p>
        </w:tc>
      </w:tr>
      <w:tr>
        <w:trPr>
          <w:cantSplit w:val="true"/>
        </w:trPr>
        <w:tc>
          <w:tcPr>
            <w:tcW w:type="dxa" w:w="3500"/>
            <w:tcMar>
              <w:top w:w="80" w:type="dxa"/>
              <w:start w:w="120" w:type="dxa"/>
              <w:bottom w:w="80" w:type="dxa"/>
              <w:end w:w="120" w:type="dxa"/>
            </w:tcMar>
            <w:vAlign w:val="center"/>
          </w:tcPr>
          <w:p>
            <w:pPr>
              <w:spacing w:after="40" w:line="252" w:lineRule="auto"/>
            </w:pPr>
            <w:r>
              <w:rPr>
                <w:color w:val="243746"/>
                <w:sz w:val="18"/>
              </w:rPr>
              <w:t>Tenant-context propagation</w:t>
            </w:r>
          </w:p>
        </w:tc>
        <w:tc>
          <w:tcPr>
            <w:tcW w:type="dxa" w:w="5860"/>
            <w:tcMar>
              <w:top w:w="80" w:type="dxa"/>
              <w:start w:w="120" w:type="dxa"/>
              <w:bottom w:w="80" w:type="dxa"/>
              <w:end w:w="120" w:type="dxa"/>
            </w:tcMar>
            <w:vAlign w:val="center"/>
          </w:tcPr>
          <w:p>
            <w:pPr>
              <w:spacing w:after="40" w:line="252" w:lineRule="auto"/>
            </w:pPr>
            <w:r>
              <w:rPr>
                <w:color w:val="243746"/>
                <w:sz w:val="18"/>
              </w:rPr>
              <w:t>FR-003–005, 020</w:t>
            </w:r>
          </w:p>
        </w:tc>
      </w:tr>
      <w:tr>
        <w:trPr>
          <w:cantSplit w:val="true"/>
        </w:trPr>
        <w:tc>
          <w:tcPr>
            <w:tcW w:type="dxa" w:w="3500"/>
            <w:tcMar>
              <w:top w:w="80" w:type="dxa"/>
              <w:start w:w="120" w:type="dxa"/>
              <w:bottom w:w="80" w:type="dxa"/>
              <w:end w:w="120" w:type="dxa"/>
            </w:tcMar>
            <w:vAlign w:val="center"/>
          </w:tcPr>
          <w:p>
            <w:pPr>
              <w:spacing w:after="40" w:line="252" w:lineRule="auto"/>
            </w:pPr>
            <w:r>
              <w:rPr>
                <w:color w:val="243746"/>
                <w:sz w:val="18"/>
              </w:rPr>
              <w:t>SET LOCAL search_path</w:t>
            </w:r>
          </w:p>
        </w:tc>
        <w:tc>
          <w:tcPr>
            <w:tcW w:type="dxa" w:w="5860"/>
            <w:tcMar>
              <w:top w:w="80" w:type="dxa"/>
              <w:start w:w="120" w:type="dxa"/>
              <w:bottom w:w="80" w:type="dxa"/>
              <w:end w:w="120" w:type="dxa"/>
            </w:tcMar>
            <w:vAlign w:val="center"/>
          </w:tcPr>
          <w:p>
            <w:pPr>
              <w:spacing w:after="40" w:line="252" w:lineRule="auto"/>
            </w:pPr>
            <w:r>
              <w:rPr>
                <w:color w:val="243746"/>
                <w:sz w:val="18"/>
              </w:rPr>
              <w:t>FR-007–009</w:t>
            </w:r>
          </w:p>
        </w:tc>
      </w:tr>
      <w:tr>
        <w:trPr>
          <w:cantSplit w:val="true"/>
        </w:trPr>
        <w:tc>
          <w:tcPr>
            <w:tcW w:type="dxa" w:w="3500"/>
            <w:tcMar>
              <w:top w:w="80" w:type="dxa"/>
              <w:start w:w="120" w:type="dxa"/>
              <w:bottom w:w="80" w:type="dxa"/>
              <w:end w:w="120" w:type="dxa"/>
            </w:tcMar>
            <w:vAlign w:val="center"/>
          </w:tcPr>
          <w:p>
            <w:pPr>
              <w:spacing w:after="40" w:line="252" w:lineRule="auto"/>
            </w:pPr>
            <w:r>
              <w:rPr>
                <w:color w:val="243746"/>
                <w:sz w:val="18"/>
              </w:rPr>
              <w:t>Connection-pool reset</w:t>
            </w:r>
          </w:p>
        </w:tc>
        <w:tc>
          <w:tcPr>
            <w:tcW w:type="dxa" w:w="5860"/>
            <w:tcMar>
              <w:top w:w="80" w:type="dxa"/>
              <w:start w:w="120" w:type="dxa"/>
              <w:bottom w:w="80" w:type="dxa"/>
              <w:end w:w="120" w:type="dxa"/>
            </w:tcMar>
            <w:vAlign w:val="center"/>
          </w:tcPr>
          <w:p>
            <w:pPr>
              <w:spacing w:after="40" w:line="252" w:lineRule="auto"/>
            </w:pPr>
            <w:r>
              <w:rPr>
                <w:color w:val="243746"/>
                <w:sz w:val="18"/>
              </w:rPr>
              <w:t>FR-010–011</w:t>
            </w:r>
          </w:p>
        </w:tc>
      </w:tr>
      <w:tr>
        <w:trPr>
          <w:cantSplit w:val="true"/>
        </w:trPr>
        <w:tc>
          <w:tcPr>
            <w:tcW w:type="dxa" w:w="3500"/>
            <w:tcMar>
              <w:top w:w="80" w:type="dxa"/>
              <w:start w:w="120" w:type="dxa"/>
              <w:bottom w:w="80" w:type="dxa"/>
              <w:end w:w="120" w:type="dxa"/>
            </w:tcMar>
            <w:vAlign w:val="center"/>
          </w:tcPr>
          <w:p>
            <w:pPr>
              <w:spacing w:after="40" w:line="252" w:lineRule="auto"/>
            </w:pPr>
            <w:r>
              <w:rPr>
                <w:color w:val="243746"/>
                <w:sz w:val="18"/>
              </w:rPr>
              <w:t>Support-access audit</w:t>
            </w:r>
          </w:p>
        </w:tc>
        <w:tc>
          <w:tcPr>
            <w:tcW w:type="dxa" w:w="5860"/>
            <w:tcMar>
              <w:top w:w="80" w:type="dxa"/>
              <w:start w:w="120" w:type="dxa"/>
              <w:bottom w:w="80" w:type="dxa"/>
              <w:end w:w="120" w:type="dxa"/>
            </w:tcMar>
            <w:vAlign w:val="center"/>
          </w:tcPr>
          <w:p>
            <w:pPr>
              <w:spacing w:after="40" w:line="252" w:lineRule="auto"/>
            </w:pPr>
            <w:r>
              <w:rPr>
                <w:color w:val="243746"/>
                <w:sz w:val="18"/>
              </w:rPr>
              <w:t>FR-014–016, 022</w:t>
            </w:r>
          </w:p>
        </w:tc>
      </w:tr>
      <w:tr>
        <w:trPr>
          <w:cantSplit w:val="true"/>
        </w:trPr>
        <w:tc>
          <w:tcPr>
            <w:tcW w:type="dxa" w:w="3500"/>
            <w:tcMar>
              <w:top w:w="80" w:type="dxa"/>
              <w:start w:w="120" w:type="dxa"/>
              <w:bottom w:w="80" w:type="dxa"/>
              <w:end w:w="120" w:type="dxa"/>
            </w:tcMar>
            <w:vAlign w:val="center"/>
          </w:tcPr>
          <w:p>
            <w:pPr>
              <w:spacing w:after="40" w:line="252" w:lineRule="auto"/>
            </w:pPr>
            <w:r>
              <w:rPr>
                <w:color w:val="243746"/>
                <w:sz w:val="18"/>
              </w:rPr>
              <w:t>Negative cross-tenant controls</w:t>
            </w:r>
          </w:p>
        </w:tc>
        <w:tc>
          <w:tcPr>
            <w:tcW w:type="dxa" w:w="5860"/>
            <w:tcMar>
              <w:top w:w="80" w:type="dxa"/>
              <w:start w:w="120" w:type="dxa"/>
              <w:bottom w:w="80" w:type="dxa"/>
              <w:end w:w="120" w:type="dxa"/>
            </w:tcMar>
            <w:vAlign w:val="center"/>
          </w:tcPr>
          <w:p>
            <w:pPr>
              <w:spacing w:after="40" w:line="252" w:lineRule="auto"/>
            </w:pPr>
            <w:r>
              <w:rPr>
                <w:color w:val="243746"/>
                <w:sz w:val="18"/>
              </w:rPr>
              <w:t>FR-006, 013, 021–024; NFR-003–006</w:t>
            </w:r>
          </w:p>
        </w:tc>
      </w:tr>
      <w:tr>
        <w:trPr>
          <w:cantSplit w:val="true"/>
        </w:trPr>
        <w:tc>
          <w:tcPr>
            <w:tcW w:type="dxa" w:w="3500"/>
            <w:tcMar>
              <w:top w:w="80" w:type="dxa"/>
              <w:start w:w="120" w:type="dxa"/>
              <w:bottom w:w="80" w:type="dxa"/>
              <w:end w:w="120" w:type="dxa"/>
            </w:tcMar>
            <w:vAlign w:val="center"/>
          </w:tcPr>
          <w:p>
            <w:pPr>
              <w:spacing w:after="40" w:line="252" w:lineRule="auto"/>
            </w:pPr>
            <w:r>
              <w:rPr>
                <w:color w:val="243746"/>
                <w:sz w:val="18"/>
              </w:rPr>
              <w:t>Cross-tenant resource fairness</w:t>
            </w:r>
          </w:p>
        </w:tc>
        <w:tc>
          <w:tcPr>
            <w:tcW w:type="dxa" w:w="5860"/>
            <w:tcMar>
              <w:top w:w="80" w:type="dxa"/>
              <w:start w:w="120" w:type="dxa"/>
              <w:bottom w:w="80" w:type="dxa"/>
              <w:end w:w="120" w:type="dxa"/>
            </w:tcMar>
            <w:vAlign w:val="center"/>
          </w:tcPr>
          <w:p>
            <w:pPr>
              <w:spacing w:after="40" w:line="252" w:lineRule="auto"/>
            </w:pPr>
            <w:r>
              <w:rPr>
                <w:color w:val="243746"/>
                <w:sz w:val="18"/>
              </w:rPr>
              <w:t>NFR-007</w:t>
            </w:r>
          </w:p>
        </w:tc>
      </w:tr>
      <w:tr>
        <w:trPr>
          <w:cantSplit w:val="true"/>
        </w:trPr>
        <w:tc>
          <w:tcPr>
            <w:tcW w:type="dxa" w:w="3500"/>
            <w:tcMar>
              <w:top w:w="80" w:type="dxa"/>
              <w:start w:w="120" w:type="dxa"/>
              <w:bottom w:w="80" w:type="dxa"/>
              <w:end w:w="120" w:type="dxa"/>
            </w:tcMar>
            <w:vAlign w:val="center"/>
          </w:tcPr>
          <w:p>
            <w:pPr>
              <w:spacing w:after="40" w:line="252" w:lineRule="auto"/>
            </w:pPr>
            <w:r>
              <w:rPr>
                <w:color w:val="243746"/>
                <w:sz w:val="18"/>
              </w:rPr>
              <w:t>M11 observability begins with M01</w:t>
            </w:r>
          </w:p>
        </w:tc>
        <w:tc>
          <w:tcPr>
            <w:tcW w:type="dxa" w:w="5860"/>
            <w:tcMar>
              <w:top w:w="80" w:type="dxa"/>
              <w:start w:w="120" w:type="dxa"/>
              <w:bottom w:w="80" w:type="dxa"/>
              <w:end w:w="120" w:type="dxa"/>
            </w:tcMar>
            <w:vAlign w:val="center"/>
          </w:tcPr>
          <w:p>
            <w:pPr>
              <w:spacing w:after="40" w:line="252" w:lineRule="auto"/>
            </w:pPr>
            <w:r>
              <w:rPr>
                <w:color w:val="243746"/>
                <w:sz w:val="18"/>
              </w:rPr>
              <w:t>FR-022; NFR-004–005, 007</w:t>
            </w:r>
          </w:p>
        </w:tc>
      </w:tr>
    </w:tbl>
    <w:p>
      <w:pPr>
        <w:spacing w:after="40"/>
      </w:pPr>
    </w:p>
    <w:p>
      <w:pPr>
        <w:pStyle w:val="Heading1"/>
      </w:pPr>
      <w:r>
        <w:t>Appendix B — Assumptions</w:t>
      </w:r>
    </w:p>
    <w:p>
      <w:pPr>
        <w:pStyle w:val="ListBullet"/>
      </w:pPr>
      <w:r>
        <w:t>Cloud SQL for PostgreSQL is the system of record and is reached over private connectivity using the approved Cloud SQL authentication mechanism.</w:t>
      </w:r>
    </w:p>
    <w:p>
      <w:pPr>
        <w:pStyle w:val="ListBullet"/>
      </w:pPr>
      <w:r>
        <w:t>Tenant operational data is physically organized schema-per-tenant; shared control infrastructure is in a shared schema.</w:t>
      </w:r>
    </w:p>
    <w:p>
      <w:pPr>
        <w:pStyle w:val="ListBullet"/>
      </w:pPr>
      <w:r>
        <w:t>The identity model supplies authenticated subject/workload identity and organization membership, but its final claims and capability vocabulary remain to be approved.</w:t>
      </w:r>
    </w:p>
    <w:p>
      <w:pPr>
        <w:pStyle w:val="ListBullet"/>
      </w:pPr>
      <w:r>
        <w:t>Downstream modules use M01’s context and transaction contracts rather than implementing their own schema routing.</w:t>
      </w:r>
    </w:p>
    <w:p>
      <w:pPr>
        <w:pStyle w:val="ListBullet"/>
      </w:pPr>
      <w:r>
        <w:t>Cross-tenant analytics is not performed through the runtime tenant role.</w:t>
      </w:r>
    </w:p>
    <w:p>
      <w:r>
        <w:br w:type="page"/>
      </w:r>
    </w:p>
    <w:p>
      <w:pPr>
        <w:pStyle w:val="Heading1"/>
      </w:pPr>
      <w:r>
        <w:t>Appendix C — Source basis</w:t>
      </w:r>
    </w:p>
    <w:p>
      <w:pPr>
        <w:pStyle w:val="ListBullet"/>
      </w:pPr>
      <w:r>
        <w:t>HaloFlow Module Delivery Tracker (23 August 2026).</w:t>
      </w:r>
    </w:p>
    <w:p>
      <w:pPr>
        <w:pStyle w:val="ListBullet"/>
      </w:pPr>
      <w:r>
        <w:t>HaloFlow Overall Architecture v1 — Data &amp; Tenant Isolation; Platform Deployment; Security, Governance &amp; Open Risks.</w:t>
      </w:r>
    </w:p>
    <w:p>
      <w:pPr>
        <w:pStyle w:val="ListBullet"/>
      </w:pPr>
      <w:r>
        <w:t>HaloFlow Intelligent Layer Requirements, version 0.1 (23 August 2026).</w:t>
      </w:r>
    </w:p>
    <w:p>
      <w:pPr>
        <w:pStyle w:val="ListBullet"/>
      </w:pPr>
      <w:r>
        <w:t>HaloVox Clinic Flow clinic overview (revised 21 August 2026).</w:t>
      </w:r>
    </w:p>
    <w:p>
      <w:pPr>
        <w:pStyle w:val="ListBullet"/>
      </w:pPr>
      <w:r>
        <w:t>M01 Review Recommendations (26 August 2026), including its cross-check of the canonical architecture-decision record and 23 August session-prep decisions.</w:t>
      </w:r>
    </w:p>
    <w:sectPr w:rsidR="00FC693F" w:rsidRPr="0006063C" w:rsidSect="00034616">
      <w:headerReference w:type="default" r:id="rId9"/>
      <w:footerReference w:type="default" r:id="rId10"/>
      <w:pgSz w:w="12240" w:h="15840"/>
      <w:pgMar w:top="1152" w:right="1440" w:bottom="108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6"/>
      </w:rPr>
      <w:t xml:space="preserve">M01 • Approved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770"/>
        <w:sz w:val="16"/>
      </w:rPr>
      <w:t>HALOFLOW  |  PRODUCT &amp; SYSTEM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7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64"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M01 Detailed Requirements — Tenant Context and Data Access</dc:title>
  <dc:subject>HaloFlow Medical Solution</dc:subject>
  <dc:creator>HaloFlow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