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M02</w:t>
      </w:r>
    </w:p>
    <w:p>
      <w:pPr>
        <w:pStyle w:val="Title"/>
      </w:pPr>
      <w:r>
        <w:t>Event and Operation Foundation</w:t>
      </w:r>
    </w:p>
    <w:p>
      <w:pPr>
        <w:pStyle w:val="Subtitle"/>
      </w:pPr>
      <w:r>
        <w:t>Detailed Requirements</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200"/>
        <w:gridCol w:w="7160"/>
      </w:tblGrid>
      <w:tr>
        <w:trPr>
          <w:tblHeader w:val="true"/>
          <w:cantSplit w:val="true"/>
        </w:trPr>
        <w:tc>
          <w:tcPr>
            <w:tcW w:type="dxa" w:w="2200"/>
            <w:shd w:fill="E8EEF5"/>
            <w:tcMar>
              <w:top w:w="80" w:type="dxa"/>
              <w:start w:w="120" w:type="dxa"/>
              <w:bottom w:w="80" w:type="dxa"/>
              <w:end w:w="120" w:type="dxa"/>
            </w:tcMar>
            <w:vAlign w:val="center"/>
          </w:tcPr>
          <w:p>
            <w:r>
              <w:rPr>
                <w:b/>
                <w:color w:val="16324F"/>
                <w:sz w:val="18"/>
              </w:rPr>
              <w:t>Document control</w:t>
            </w:r>
          </w:p>
        </w:tc>
        <w:tc>
          <w:tcPr>
            <w:tcW w:type="dxa" w:w="7160"/>
            <w:shd w:fill="E8EEF5"/>
            <w:tcMar>
              <w:top w:w="80" w:type="dxa"/>
              <w:start w:w="120" w:type="dxa"/>
              <w:bottom w:w="80" w:type="dxa"/>
              <w:end w:w="120" w:type="dxa"/>
            </w:tcMar>
            <w:vAlign w:val="center"/>
          </w:tcPr>
          <w:p>
            <w:r>
              <w:rPr>
                <w:b/>
                <w:color w:val="16324F"/>
                <w:sz w:val="18"/>
              </w:rPr>
              <w:t>Value</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Product</w:t>
            </w:r>
          </w:p>
        </w:tc>
        <w:tc>
          <w:tcPr>
            <w:tcW w:type="dxa" w:w="7160"/>
            <w:tcMar>
              <w:top w:w="80" w:type="dxa"/>
              <w:start w:w="120" w:type="dxa"/>
              <w:bottom w:w="80" w:type="dxa"/>
              <w:end w:w="120" w:type="dxa"/>
            </w:tcMar>
            <w:vAlign w:val="center"/>
          </w:tcPr>
          <w:p>
            <w:pPr>
              <w:spacing w:after="40" w:line="252" w:lineRule="auto"/>
            </w:pPr>
            <w:r>
              <w:rPr>
                <w:color w:val="243746"/>
                <w:sz w:val="18"/>
              </w:rPr>
              <w:t>HaloFlow Medical Solution</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Status</w:t>
            </w:r>
          </w:p>
        </w:tc>
        <w:tc>
          <w:tcPr>
            <w:tcW w:type="dxa" w:w="7160"/>
            <w:tcMar>
              <w:top w:w="80" w:type="dxa"/>
              <w:start w:w="120" w:type="dxa"/>
              <w:bottom w:w="80" w:type="dxa"/>
              <w:end w:w="120" w:type="dxa"/>
            </w:tcMar>
            <w:vAlign w:val="center"/>
          </w:tcPr>
          <w:p>
            <w:pPr>
              <w:spacing w:after="40" w:line="252" w:lineRule="auto"/>
            </w:pPr>
            <w:r>
              <w:rPr>
                <w:color w:val="243746"/>
                <w:sz w:val="18"/>
              </w:rPr>
              <w:t>Approved</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Version</w:t>
            </w:r>
          </w:p>
        </w:tc>
        <w:tc>
          <w:tcPr>
            <w:tcW w:type="dxa" w:w="7160"/>
            <w:tcMar>
              <w:top w:w="80" w:type="dxa"/>
              <w:start w:w="120" w:type="dxa"/>
              <w:bottom w:w="80" w:type="dxa"/>
              <w:end w:w="120" w:type="dxa"/>
            </w:tcMar>
            <w:vAlign w:val="center"/>
          </w:tcPr>
          <w:p>
            <w:pPr>
              <w:spacing w:after="40" w:line="252" w:lineRule="auto"/>
            </w:pPr>
            <w:r>
              <w:rPr>
                <w:color w:val="243746"/>
                <w:sz w:val="18"/>
              </w:rPr>
              <w:t>1.0</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Approval date</w:t>
            </w:r>
          </w:p>
        </w:tc>
        <w:tc>
          <w:tcPr>
            <w:tcW w:type="dxa" w:w="7160"/>
            <w:tcMar>
              <w:top w:w="80" w:type="dxa"/>
              <w:start w:w="120" w:type="dxa"/>
              <w:bottom w:w="80" w:type="dxa"/>
              <w:end w:w="120" w:type="dxa"/>
            </w:tcMar>
            <w:vAlign w:val="center"/>
          </w:tcPr>
          <w:p>
            <w:pPr>
              <w:spacing w:after="40" w:line="252" w:lineRule="auto"/>
            </w:pPr>
            <w:r>
              <w:rPr>
                <w:color w:val="243746"/>
                <w:sz w:val="18"/>
              </w:rPr>
              <w:t>28 August 2026</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Module owner</w:t>
            </w:r>
          </w:p>
        </w:tc>
        <w:tc>
          <w:tcPr>
            <w:tcW w:type="dxa" w:w="7160"/>
            <w:tcMar>
              <w:top w:w="80" w:type="dxa"/>
              <w:start w:w="120" w:type="dxa"/>
              <w:bottom w:w="80" w:type="dxa"/>
              <w:end w:w="120" w:type="dxa"/>
            </w:tcMar>
            <w:vAlign w:val="center"/>
          </w:tcPr>
          <w:p>
            <w:pPr>
              <w:spacing w:after="40" w:line="252" w:lineRule="auto"/>
            </w:pPr>
            <w:r>
              <w:rPr>
                <w:color w:val="243746"/>
                <w:sz w:val="18"/>
              </w:rPr>
              <w:t>Rachel</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Primary dependency</w:t>
            </w:r>
          </w:p>
        </w:tc>
        <w:tc>
          <w:tcPr>
            <w:tcW w:type="dxa" w:w="7160"/>
            <w:tcMar>
              <w:top w:w="80" w:type="dxa"/>
              <w:start w:w="120" w:type="dxa"/>
              <w:bottom w:w="80" w:type="dxa"/>
              <w:end w:w="120" w:type="dxa"/>
            </w:tcMar>
            <w:vAlign w:val="center"/>
          </w:tcPr>
          <w:p>
            <w:pPr>
              <w:spacing w:after="40" w:line="252" w:lineRule="auto"/>
            </w:pPr>
            <w:r>
              <w:rPr>
                <w:color w:val="243746"/>
                <w:sz w:val="18"/>
              </w:rPr>
              <w:t>M01 — Tenant Context and Data Access</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Downstream modules</w:t>
            </w:r>
          </w:p>
        </w:tc>
        <w:tc>
          <w:tcPr>
            <w:tcW w:type="dxa" w:w="7160"/>
            <w:tcMar>
              <w:top w:w="80" w:type="dxa"/>
              <w:start w:w="120" w:type="dxa"/>
              <w:bottom w:w="80" w:type="dxa"/>
              <w:end w:w="120" w:type="dxa"/>
            </w:tcMar>
            <w:vAlign w:val="center"/>
          </w:tcPr>
          <w:p>
            <w:pPr>
              <w:spacing w:after="40" w:line="252" w:lineRule="auto"/>
            </w:pPr>
            <w:r>
              <w:rPr>
                <w:color w:val="243746"/>
                <w:sz w:val="18"/>
              </w:rPr>
              <w:t>M03, M05, M06, M09, and M12; event consumers across M07–M10</w:t>
            </w:r>
          </w:p>
        </w:tc>
      </w:tr>
    </w:tbl>
    <w:p>
      <w:pPr>
        <w:spacing w:after="40"/>
      </w:pPr>
    </w:p>
    <w:p>
      <w:pPr>
        <w:spacing w:before="160"/>
      </w:pPr>
      <w:r>
        <w:rPr>
          <w:b/>
        </w:rPr>
        <w:t xml:space="preserve">Purpose. </w:t>
      </w:r>
      <w:r>
        <w:t>Define the durable identity, event semantics, append-only evidence, idempotent write, projection, correction, and integration contracts that every HaloFlow business workflow uses to explain what was attempted, what was observed, and what is currently believed.</w:t>
      </w:r>
    </w:p>
    <w:p>
      <w:pPr>
        <w:pStyle w:val="Heading1"/>
      </w:pPr>
      <w:r>
        <w:t>1. Executive requirement</w:t>
      </w:r>
    </w:p>
    <w:p>
      <w:r>
        <w:t>HaloFlow shall provide one tenant-aware event and operation foundation for all externally visible side effects and material inbound observations. Every external side effect shall receive one stable operation_id before the call, record durable intent before execution, append submission and delivery or business outcomes without mutating prior evidence, and expose a deterministic current-state projection. Duplicate processing, out-of-order callbacks, crashes, retries, corrections, and conflicting terminal outcomes shall never erase history or silently produce an incorrect current state.</w:t>
      </w:r>
    </w:p>
    <w:p>
      <w:r>
        <w:rPr>
          <w:b/>
          <w:color w:val="9B1C1C"/>
        </w:rPr>
        <w:t xml:space="preserve">Decision condition: </w:t>
      </w:r>
      <w:r>
        <w:t>Decision D4 records requirements v2.4 and ADRs v4 as Accepted on 2 August 2026, although the canonical repo has not yet received the mechanical status stamps. Because M02 materially refines ADR-003 and ADR-005, requirements approval is conditional on drafting ADR-011 from this approved requirement set; ADR-011 shall supersede the affected portions before schema design freeze. Applying the D4 status stamps is a separate Module 0 action. ADR-007 remains controlling: the persisted operation_id itself is reused directly as the provider idempotency key when the provider supports it.</w:t>
      </w:r>
    </w:p>
    <w:p>
      <w:pPr>
        <w:pStyle w:val="Heading1"/>
      </w:pPr>
      <w:r>
        <w:t>2. Scope</w:t>
      </w:r>
    </w:p>
    <w:p>
      <w:pPr>
        <w:pStyle w:val="Heading2"/>
      </w:pPr>
      <w:r>
        <w:t>2.1 In scope</w:t>
      </w:r>
    </w:p>
    <w:p>
      <w:pPr>
        <w:pStyle w:val="ListBullet"/>
        <w:ind w:left="360" w:hanging="259"/>
      </w:pPr>
      <w:r>
        <w:t>Stable operation identity and its lifecycle across retries, recovery, and worker takeover.</w:t>
      </w:r>
    </w:p>
    <w:p>
      <w:pPr>
        <w:pStyle w:val="ListBullet"/>
        <w:ind w:left="360" w:hanging="259"/>
      </w:pPr>
      <w:r>
        <w:t>Intent, submission, delivery, business-outcome, inbound-observation, and correction event semantics.</w:t>
      </w:r>
    </w:p>
    <w:p>
      <w:pPr>
        <w:pStyle w:val="ListBullet"/>
        <w:ind w:left="360" w:hanging="259"/>
      </w:pPr>
      <w:r>
        <w:t>Tenant-local append-only event storage, minimum fields, constraints, and migration compatibility.</w:t>
      </w:r>
    </w:p>
    <w:p>
      <w:pPr>
        <w:pStyle w:val="ListBullet"/>
        <w:ind w:left="360" w:hanging="259"/>
      </w:pPr>
      <w:r>
        <w:t>Idempotent event append behavior and producer deduplication contracts.</w:t>
      </w:r>
    </w:p>
    <w:p>
      <w:pPr>
        <w:pStyle w:val="ListBullet"/>
        <w:ind w:left="360" w:hanging="259"/>
      </w:pPr>
      <w:r>
        <w:t>Deterministic current-state and subject-timeline projections, including conflicts and corrections.</w:t>
      </w:r>
    </w:p>
    <w:p>
      <w:pPr>
        <w:pStyle w:val="ListBullet"/>
        <w:ind w:left="360" w:hanging="259"/>
      </w:pPr>
      <w:r>
        <w:t>Reference data for event types and event statuses, including retirement and compatibility rules.</w:t>
      </w:r>
    </w:p>
    <w:p>
      <w:pPr>
        <w:pStyle w:val="ListBullet"/>
        <w:ind w:left="360" w:hanging="259"/>
      </w:pPr>
      <w:r>
        <w:t>Correlation, subject, batch, workflow-log, provider, and correction linkages.</w:t>
      </w:r>
    </w:p>
    <w:p>
      <w:pPr>
        <w:pStyle w:val="ListBullet"/>
        <w:ind w:left="360" w:hanging="259"/>
      </w:pPr>
      <w:r>
        <w:t>PHI-minimum metadata, audit integrity, structured telemetry, failure behavior, and acceptance evidence.</w:t>
      </w:r>
    </w:p>
    <w:p>
      <w:pPr>
        <w:pStyle w:val="ListBullet"/>
        <w:ind w:left="360" w:hanging="259"/>
      </w:pPr>
      <w:r>
        <w:t>Handoff contracts to M03 webhook workers, M05 staff queues, M06 outbound/reconciliation runtime, and M11 observability.</w:t>
      </w:r>
    </w:p>
    <w:p>
      <w:pPr>
        <w:pStyle w:val="Heading2"/>
      </w:pPr>
      <w:r>
        <w:t>2.2 Out of scope</w:t>
      </w:r>
    </w:p>
    <w:p>
      <w:pPr>
        <w:pStyle w:val="ListBullet"/>
        <w:ind w:left="360" w:hanging="259"/>
      </w:pPr>
      <w:r>
        <w:t>Webhook signature verification, durable inbox claims, leases, and reclaimer implementation; these belong to M03.</w:t>
      </w:r>
    </w:p>
    <w:p>
      <w:pPr>
        <w:pStyle w:val="ListBullet"/>
        <w:ind w:left="360" w:hanging="259"/>
      </w:pPr>
      <w:r>
        <w:t>Provider and tenant callback routing registries and unresolved callback processing; these belong to M04.</w:t>
      </w:r>
    </w:p>
    <w:p>
      <w:pPr>
        <w:pStyle w:val="ListBullet"/>
        <w:ind w:left="360" w:hanging="259"/>
      </w:pPr>
      <w:r>
        <w:t>Staff work/error queue state machines and user workflows; these belong to M05.</w:t>
      </w:r>
    </w:p>
    <w:p>
      <w:pPr>
        <w:pStyle w:val="ListBullet"/>
        <w:ind w:left="360" w:hanging="259"/>
      </w:pPr>
      <w:r>
        <w:t>Schedulers, batch execution, watchdog takeover, provider-specific retry, and reconciliation job orchestration; these belong to M06.</w:t>
      </w:r>
    </w:p>
    <w:p>
      <w:pPr>
        <w:pStyle w:val="ListBullet"/>
        <w:ind w:left="360" w:hanging="259"/>
      </w:pPr>
      <w:r>
        <w:t>SMS, consent, fax, eligibility, and intelligent-layer business rules; their modules publish and consume M02 events.</w:t>
      </w:r>
    </w:p>
    <w:p>
      <w:pPr>
        <w:pStyle w:val="ListBullet"/>
        <w:ind w:left="360" w:hanging="259"/>
      </w:pPr>
      <w:r>
        <w:t>Clinic-facing timeline or dashboard presentation; M02 provides query contracts, while M10 owns the user experience.</w:t>
      </w:r>
    </w:p>
    <w:p>
      <w:pPr>
        <w:pStyle w:val="ListBullet"/>
        <w:ind w:left="360" w:hanging="259"/>
      </w:pPr>
      <w:r>
        <w:t>Central logging platform and support dashboards beyond the event signal contract; these belong to M11.</w:t>
      </w:r>
    </w:p>
    <w:p>
      <w:pPr>
        <w:pStyle w:val="Heading1"/>
      </w:pPr>
      <w:r>
        <w:t>3. Terms and invariants</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000"/>
        <w:gridCol w:w="7360"/>
      </w:tblGrid>
      <w:tr>
        <w:trPr>
          <w:tblHeader w:val="true"/>
          <w:cantSplit w:val="true"/>
        </w:trPr>
        <w:tc>
          <w:tcPr>
            <w:tcW w:type="dxa" w:w="2000"/>
            <w:shd w:fill="E8EEF5"/>
            <w:tcMar>
              <w:top w:w="80" w:type="dxa"/>
              <w:start w:w="120" w:type="dxa"/>
              <w:bottom w:w="80" w:type="dxa"/>
              <w:end w:w="120" w:type="dxa"/>
            </w:tcMar>
            <w:vAlign w:val="center"/>
          </w:tcPr>
          <w:p>
            <w:r>
              <w:rPr>
                <w:b/>
                <w:color w:val="16324F"/>
                <w:sz w:val="18"/>
              </w:rPr>
              <w:t>Term</w:t>
            </w:r>
          </w:p>
        </w:tc>
        <w:tc>
          <w:tcPr>
            <w:tcW w:type="dxa" w:w="7360"/>
            <w:shd w:fill="E8EEF5"/>
            <w:tcMar>
              <w:top w:w="80" w:type="dxa"/>
              <w:start w:w="120" w:type="dxa"/>
              <w:bottom w:w="80" w:type="dxa"/>
              <w:end w:w="120" w:type="dxa"/>
            </w:tcMar>
            <w:vAlign w:val="center"/>
          </w:tcPr>
          <w:p>
            <w:r>
              <w:rPr>
                <w:b/>
                <w:color w:val="16324F"/>
                <w:sz w:val="18"/>
              </w:rPr>
              <w:t>Definition</w:t>
            </w:r>
          </w:p>
        </w:tc>
      </w:tr>
      <w:tr>
        <w:trPr>
          <w:cantSplit w:val="true"/>
        </w:trPr>
        <w:tc>
          <w:tcPr>
            <w:tcW w:type="dxa" w:w="2000"/>
            <w:tcMar>
              <w:top w:w="80" w:type="dxa"/>
              <w:start w:w="120" w:type="dxa"/>
              <w:bottom w:w="80" w:type="dxa"/>
              <w:end w:w="120" w:type="dxa"/>
            </w:tcMar>
            <w:vAlign w:val="center"/>
          </w:tcPr>
          <w:p>
            <w:pPr>
              <w:spacing w:after="40" w:line="252" w:lineRule="auto"/>
            </w:pPr>
            <w:r>
              <w:rPr>
                <w:color w:val="243746"/>
                <w:sz w:val="18"/>
              </w:rPr>
              <w:t>Business operation</w:t>
            </w:r>
          </w:p>
        </w:tc>
        <w:tc>
          <w:tcPr>
            <w:tcW w:type="dxa" w:w="7360"/>
            <w:tcMar>
              <w:top w:w="80" w:type="dxa"/>
              <w:start w:w="120" w:type="dxa"/>
              <w:bottom w:w="80" w:type="dxa"/>
              <w:end w:w="120" w:type="dxa"/>
            </w:tcMar>
            <w:vAlign w:val="center"/>
          </w:tcPr>
          <w:p>
            <w:pPr>
              <w:spacing w:after="40" w:line="252" w:lineRule="auto"/>
            </w:pPr>
            <w:r>
              <w:rPr>
                <w:color w:val="243746"/>
                <w:sz w:val="18"/>
              </w:rPr>
              <w:t>One logical attempt to cause an external side effect, independent of process, request, retry, or worker lifetime.</w:t>
            </w:r>
          </w:p>
        </w:tc>
      </w:tr>
      <w:tr>
        <w:trPr>
          <w:cantSplit w:val="true"/>
        </w:trPr>
        <w:tc>
          <w:tcPr>
            <w:tcW w:type="dxa" w:w="2000"/>
            <w:tcMar>
              <w:top w:w="80" w:type="dxa"/>
              <w:start w:w="120" w:type="dxa"/>
              <w:bottom w:w="80" w:type="dxa"/>
              <w:end w:w="120" w:type="dxa"/>
            </w:tcMar>
            <w:vAlign w:val="center"/>
          </w:tcPr>
          <w:p>
            <w:pPr>
              <w:spacing w:after="40" w:line="252" w:lineRule="auto"/>
            </w:pPr>
            <w:r>
              <w:rPr>
                <w:color w:val="243746"/>
                <w:sz w:val="18"/>
              </w:rPr>
              <w:t>operation_id</w:t>
            </w:r>
          </w:p>
        </w:tc>
        <w:tc>
          <w:tcPr>
            <w:tcW w:type="dxa" w:w="7360"/>
            <w:tcMar>
              <w:top w:w="80" w:type="dxa"/>
              <w:start w:w="120" w:type="dxa"/>
              <w:bottom w:w="80" w:type="dxa"/>
              <w:end w:w="120" w:type="dxa"/>
            </w:tcMar>
            <w:vAlign w:val="center"/>
          </w:tcPr>
          <w:p>
            <w:pPr>
              <w:spacing w:after="40" w:line="252" w:lineRule="auto"/>
            </w:pPr>
            <w:r>
              <w:rPr>
                <w:color w:val="243746"/>
                <w:sz w:val="18"/>
              </w:rPr>
              <w:t>Opaque UUID generated once for a business operation, persisted before execution, and reused for every retry, recovery, and related outcome.</w:t>
            </w:r>
          </w:p>
        </w:tc>
      </w:tr>
      <w:tr>
        <w:trPr>
          <w:cantSplit w:val="true"/>
        </w:trPr>
        <w:tc>
          <w:tcPr>
            <w:tcW w:type="dxa" w:w="2000"/>
            <w:tcMar>
              <w:top w:w="80" w:type="dxa"/>
              <w:start w:w="120" w:type="dxa"/>
              <w:bottom w:w="80" w:type="dxa"/>
              <w:end w:w="120" w:type="dxa"/>
            </w:tcMar>
            <w:vAlign w:val="center"/>
          </w:tcPr>
          <w:p>
            <w:pPr>
              <w:spacing w:after="40" w:line="252" w:lineRule="auto"/>
            </w:pPr>
            <w:r>
              <w:rPr>
                <w:color w:val="243746"/>
                <w:sz w:val="18"/>
              </w:rPr>
              <w:t>event_id</w:t>
            </w:r>
          </w:p>
        </w:tc>
        <w:tc>
          <w:tcPr>
            <w:tcW w:type="dxa" w:w="7360"/>
            <w:tcMar>
              <w:top w:w="80" w:type="dxa"/>
              <w:start w:w="120" w:type="dxa"/>
              <w:bottom w:w="80" w:type="dxa"/>
              <w:end w:w="120" w:type="dxa"/>
            </w:tcMar>
            <w:vAlign w:val="center"/>
          </w:tcPr>
          <w:p>
            <w:pPr>
              <w:spacing w:after="40" w:line="252" w:lineRule="auto"/>
            </w:pPr>
            <w:r>
              <w:rPr>
                <w:color w:val="243746"/>
                <w:sz w:val="18"/>
              </w:rPr>
              <w:t>Globally unique immutable identifier for one appended event record.</w:t>
            </w:r>
          </w:p>
        </w:tc>
      </w:tr>
      <w:tr>
        <w:trPr>
          <w:cantSplit w:val="true"/>
        </w:trPr>
        <w:tc>
          <w:tcPr>
            <w:tcW w:type="dxa" w:w="2000"/>
            <w:tcMar>
              <w:top w:w="80" w:type="dxa"/>
              <w:start w:w="120" w:type="dxa"/>
              <w:bottom w:w="80" w:type="dxa"/>
              <w:end w:w="120" w:type="dxa"/>
            </w:tcMar>
            <w:vAlign w:val="center"/>
          </w:tcPr>
          <w:p>
            <w:pPr>
              <w:spacing w:after="40" w:line="252" w:lineRule="auto"/>
            </w:pPr>
            <w:r>
              <w:rPr>
                <w:color w:val="243746"/>
                <w:sz w:val="18"/>
              </w:rPr>
              <w:t>Event</w:t>
            </w:r>
          </w:p>
        </w:tc>
        <w:tc>
          <w:tcPr>
            <w:tcW w:type="dxa" w:w="7360"/>
            <w:tcMar>
              <w:top w:w="80" w:type="dxa"/>
              <w:start w:w="120" w:type="dxa"/>
              <w:bottom w:w="80" w:type="dxa"/>
              <w:end w:w="120" w:type="dxa"/>
            </w:tcMar>
            <w:vAlign w:val="center"/>
          </w:tcPr>
          <w:p>
            <w:pPr>
              <w:spacing w:after="40" w:line="252" w:lineRule="auto"/>
            </w:pPr>
            <w:r>
              <w:rPr>
                <w:color w:val="243746"/>
                <w:sz w:val="18"/>
              </w:rPr>
              <w:t>An immutable fact asserted by an authorized producer at a stated time, with controlled type, status, provenance, and links.</w:t>
            </w:r>
          </w:p>
        </w:tc>
      </w:tr>
      <w:tr>
        <w:trPr>
          <w:cantSplit w:val="true"/>
        </w:trPr>
        <w:tc>
          <w:tcPr>
            <w:tcW w:type="dxa" w:w="2000"/>
            <w:tcMar>
              <w:top w:w="80" w:type="dxa"/>
              <w:start w:w="120" w:type="dxa"/>
              <w:bottom w:w="80" w:type="dxa"/>
              <w:end w:w="120" w:type="dxa"/>
            </w:tcMar>
            <w:vAlign w:val="center"/>
          </w:tcPr>
          <w:p>
            <w:pPr>
              <w:spacing w:after="40" w:line="252" w:lineRule="auto"/>
            </w:pPr>
            <w:r>
              <w:rPr>
                <w:color w:val="243746"/>
                <w:sz w:val="18"/>
              </w:rPr>
              <w:t>Intent</w:t>
            </w:r>
          </w:p>
        </w:tc>
        <w:tc>
          <w:tcPr>
            <w:tcW w:type="dxa" w:w="7360"/>
            <w:tcMar>
              <w:top w:w="80" w:type="dxa"/>
              <w:start w:w="120" w:type="dxa"/>
              <w:bottom w:w="80" w:type="dxa"/>
              <w:end w:w="120" w:type="dxa"/>
            </w:tcMar>
            <w:vAlign w:val="center"/>
          </w:tcPr>
          <w:p>
            <w:pPr>
              <w:spacing w:after="40" w:line="252" w:lineRule="auto"/>
            </w:pPr>
            <w:r>
              <w:rPr>
                <w:color w:val="243746"/>
                <w:sz w:val="18"/>
              </w:rPr>
              <w:t>Pre-call fact that the system committed to attempt an external side effect.</w:t>
            </w:r>
          </w:p>
        </w:tc>
      </w:tr>
      <w:tr>
        <w:trPr>
          <w:cantSplit w:val="true"/>
        </w:trPr>
        <w:tc>
          <w:tcPr>
            <w:tcW w:type="dxa" w:w="2000"/>
            <w:tcMar>
              <w:top w:w="80" w:type="dxa"/>
              <w:start w:w="120" w:type="dxa"/>
              <w:bottom w:w="80" w:type="dxa"/>
              <w:end w:w="120" w:type="dxa"/>
            </w:tcMar>
            <w:vAlign w:val="center"/>
          </w:tcPr>
          <w:p>
            <w:pPr>
              <w:spacing w:after="40" w:line="252" w:lineRule="auto"/>
            </w:pPr>
            <w:r>
              <w:rPr>
                <w:color w:val="243746"/>
                <w:sz w:val="18"/>
              </w:rPr>
              <w:t>Submission outcome</w:t>
            </w:r>
          </w:p>
        </w:tc>
        <w:tc>
          <w:tcPr>
            <w:tcW w:type="dxa" w:w="7360"/>
            <w:tcMar>
              <w:top w:w="80" w:type="dxa"/>
              <w:start w:w="120" w:type="dxa"/>
              <w:bottom w:w="80" w:type="dxa"/>
              <w:end w:w="120" w:type="dxa"/>
            </w:tcMar>
            <w:vAlign w:val="center"/>
          </w:tcPr>
          <w:p>
            <w:pPr>
              <w:spacing w:after="40" w:line="252" w:lineRule="auto"/>
            </w:pPr>
            <w:r>
              <w:rPr>
                <w:color w:val="243746"/>
                <w:sz w:val="18"/>
              </w:rPr>
              <w:t>Provider or EMR acceptance, definitive rejection, or indeterminate result of the call itself.</w:t>
            </w:r>
          </w:p>
        </w:tc>
      </w:tr>
      <w:tr>
        <w:trPr>
          <w:cantSplit w:val="true"/>
        </w:trPr>
        <w:tc>
          <w:tcPr>
            <w:tcW w:type="dxa" w:w="2000"/>
            <w:tcMar>
              <w:top w:w="80" w:type="dxa"/>
              <w:start w:w="120" w:type="dxa"/>
              <w:bottom w:w="80" w:type="dxa"/>
              <w:end w:w="120" w:type="dxa"/>
            </w:tcMar>
            <w:vAlign w:val="center"/>
          </w:tcPr>
          <w:p>
            <w:pPr>
              <w:spacing w:after="40" w:line="252" w:lineRule="auto"/>
            </w:pPr>
            <w:r>
              <w:rPr>
                <w:color w:val="243746"/>
                <w:sz w:val="18"/>
              </w:rPr>
              <w:t>Delivery/business outcome</w:t>
            </w:r>
          </w:p>
        </w:tc>
        <w:tc>
          <w:tcPr>
            <w:tcW w:type="dxa" w:w="7360"/>
            <w:tcMar>
              <w:top w:w="80" w:type="dxa"/>
              <w:start w:w="120" w:type="dxa"/>
              <w:bottom w:w="80" w:type="dxa"/>
              <w:end w:w="120" w:type="dxa"/>
            </w:tcMar>
            <w:vAlign w:val="center"/>
          </w:tcPr>
          <w:p>
            <w:pPr>
              <w:spacing w:after="40" w:line="252" w:lineRule="auto"/>
            </w:pPr>
            <w:r>
              <w:rPr>
                <w:color w:val="243746"/>
                <w:sz w:val="18"/>
              </w:rPr>
              <w:t>Later provider delivery or domain completion/failure fact for an accepted operation.</w:t>
            </w:r>
          </w:p>
        </w:tc>
      </w:tr>
      <w:tr>
        <w:trPr>
          <w:cantSplit w:val="true"/>
        </w:trPr>
        <w:tc>
          <w:tcPr>
            <w:tcW w:type="dxa" w:w="2000"/>
            <w:tcMar>
              <w:top w:w="80" w:type="dxa"/>
              <w:start w:w="120" w:type="dxa"/>
              <w:bottom w:w="80" w:type="dxa"/>
              <w:end w:w="120" w:type="dxa"/>
            </w:tcMar>
            <w:vAlign w:val="center"/>
          </w:tcPr>
          <w:p>
            <w:pPr>
              <w:spacing w:after="40" w:line="252" w:lineRule="auto"/>
            </w:pPr>
            <w:r>
              <w:rPr>
                <w:color w:val="243746"/>
                <w:sz w:val="18"/>
              </w:rPr>
              <w:t>Observation</w:t>
            </w:r>
          </w:p>
        </w:tc>
        <w:tc>
          <w:tcPr>
            <w:tcW w:type="dxa" w:w="7360"/>
            <w:tcMar>
              <w:top w:w="80" w:type="dxa"/>
              <w:start w:w="120" w:type="dxa"/>
              <w:bottom w:w="80" w:type="dxa"/>
              <w:end w:w="120" w:type="dxa"/>
            </w:tcMar>
            <w:vAlign w:val="center"/>
          </w:tcPr>
          <w:p>
            <w:pPr>
              <w:spacing w:after="40" w:line="252" w:lineRule="auto"/>
            </w:pPr>
            <w:r>
              <w:rPr>
                <w:color w:val="243746"/>
                <w:sz w:val="18"/>
              </w:rPr>
              <w:t>Inbound fact received from outside the system or a material internal fact that is not itself an external side-effect attempt.</w:t>
            </w:r>
          </w:p>
        </w:tc>
      </w:tr>
      <w:tr>
        <w:trPr>
          <w:cantSplit w:val="true"/>
        </w:trPr>
        <w:tc>
          <w:tcPr>
            <w:tcW w:type="dxa" w:w="2000"/>
            <w:tcMar>
              <w:top w:w="80" w:type="dxa"/>
              <w:start w:w="120" w:type="dxa"/>
              <w:bottom w:w="80" w:type="dxa"/>
              <w:end w:w="120" w:type="dxa"/>
            </w:tcMar>
            <w:vAlign w:val="center"/>
          </w:tcPr>
          <w:p>
            <w:pPr>
              <w:spacing w:after="40" w:line="252" w:lineRule="auto"/>
            </w:pPr>
            <w:r>
              <w:rPr>
                <w:color w:val="243746"/>
                <w:sz w:val="18"/>
              </w:rPr>
              <w:t>Projection</w:t>
            </w:r>
          </w:p>
        </w:tc>
        <w:tc>
          <w:tcPr>
            <w:tcW w:type="dxa" w:w="7360"/>
            <w:tcMar>
              <w:top w:w="80" w:type="dxa"/>
              <w:start w:w="120" w:type="dxa"/>
              <w:bottom w:w="80" w:type="dxa"/>
              <w:end w:w="120" w:type="dxa"/>
            </w:tcMar>
            <w:vAlign w:val="center"/>
          </w:tcPr>
          <w:p>
            <w:pPr>
              <w:spacing w:after="40" w:line="252" w:lineRule="auto"/>
            </w:pPr>
            <w:r>
              <w:rPr>
                <w:color w:val="243746"/>
                <w:sz w:val="18"/>
              </w:rPr>
              <w:t>Deterministic derived state computed from immutable events; it is not authoritative evidence by itself.</w:t>
            </w:r>
          </w:p>
        </w:tc>
      </w:tr>
      <w:tr>
        <w:trPr>
          <w:cantSplit w:val="true"/>
        </w:trPr>
        <w:tc>
          <w:tcPr>
            <w:tcW w:type="dxa" w:w="2000"/>
            <w:tcMar>
              <w:top w:w="80" w:type="dxa"/>
              <w:start w:w="120" w:type="dxa"/>
              <w:bottom w:w="80" w:type="dxa"/>
              <w:end w:w="120" w:type="dxa"/>
            </w:tcMar>
            <w:vAlign w:val="center"/>
          </w:tcPr>
          <w:p>
            <w:pPr>
              <w:spacing w:after="40" w:line="252" w:lineRule="auto"/>
            </w:pPr>
            <w:r>
              <w:rPr>
                <w:color w:val="243746"/>
                <w:sz w:val="18"/>
              </w:rPr>
              <w:t>Terminal outcome</w:t>
            </w:r>
          </w:p>
        </w:tc>
        <w:tc>
          <w:tcPr>
            <w:tcW w:type="dxa" w:w="7360"/>
            <w:tcMar>
              <w:top w:w="80" w:type="dxa"/>
              <w:start w:w="120" w:type="dxa"/>
              <w:bottom w:w="80" w:type="dxa"/>
              <w:end w:w="120" w:type="dxa"/>
            </w:tcMar>
            <w:vAlign w:val="center"/>
          </w:tcPr>
          <w:p>
            <w:pPr>
              <w:spacing w:after="40" w:line="252" w:lineRule="auto"/>
            </w:pPr>
            <w:r>
              <w:rPr>
                <w:color w:val="243746"/>
                <w:sz w:val="18"/>
              </w:rPr>
              <w:t>Outcome after which no ordinary lower-precedence event may move the projection backward; conflicting terminal facts require reconciliation.</w:t>
            </w:r>
          </w:p>
        </w:tc>
      </w:tr>
      <w:tr>
        <w:trPr>
          <w:cantSplit w:val="true"/>
        </w:trPr>
        <w:tc>
          <w:tcPr>
            <w:tcW w:type="dxa" w:w="2000"/>
            <w:tcMar>
              <w:top w:w="80" w:type="dxa"/>
              <w:start w:w="120" w:type="dxa"/>
              <w:bottom w:w="80" w:type="dxa"/>
              <w:end w:w="120" w:type="dxa"/>
            </w:tcMar>
            <w:vAlign w:val="center"/>
          </w:tcPr>
          <w:p>
            <w:pPr>
              <w:spacing w:after="40" w:line="252" w:lineRule="auto"/>
            </w:pPr>
            <w:r>
              <w:rPr>
                <w:color w:val="243746"/>
                <w:sz w:val="18"/>
              </w:rPr>
              <w:t>Indeterminate</w:t>
            </w:r>
          </w:p>
        </w:tc>
        <w:tc>
          <w:tcPr>
            <w:tcW w:type="dxa" w:w="7360"/>
            <w:tcMar>
              <w:top w:w="80" w:type="dxa"/>
              <w:start w:w="120" w:type="dxa"/>
              <w:bottom w:w="80" w:type="dxa"/>
              <w:end w:w="120" w:type="dxa"/>
            </w:tcMar>
            <w:vAlign w:val="center"/>
          </w:tcPr>
          <w:p>
            <w:pPr>
              <w:spacing w:after="40" w:line="252" w:lineRule="auto"/>
            </w:pPr>
            <w:r>
              <w:rPr>
                <w:color w:val="243746"/>
                <w:sz w:val="18"/>
              </w:rPr>
              <w:t>Non-terminal state meaning the external call may have occurred but its result is not yet known; automatic resend is prohibited without a safe owning-module rule.</w:t>
            </w:r>
          </w:p>
        </w:tc>
      </w:tr>
      <w:tr>
        <w:trPr>
          <w:cantSplit w:val="true"/>
        </w:trPr>
        <w:tc>
          <w:tcPr>
            <w:tcW w:type="dxa" w:w="2000"/>
            <w:tcMar>
              <w:top w:w="80" w:type="dxa"/>
              <w:start w:w="120" w:type="dxa"/>
              <w:bottom w:w="80" w:type="dxa"/>
              <w:end w:w="120" w:type="dxa"/>
            </w:tcMar>
            <w:vAlign w:val="center"/>
          </w:tcPr>
          <w:p>
            <w:pPr>
              <w:spacing w:after="40" w:line="252" w:lineRule="auto"/>
            </w:pPr>
            <w:r>
              <w:rPr>
                <w:color w:val="243746"/>
                <w:sz w:val="18"/>
              </w:rPr>
              <w:t>Conflict</w:t>
            </w:r>
          </w:p>
        </w:tc>
        <w:tc>
          <w:tcPr>
            <w:tcW w:type="dxa" w:w="7360"/>
            <w:tcMar>
              <w:top w:w="80" w:type="dxa"/>
              <w:start w:w="120" w:type="dxa"/>
              <w:bottom w:w="80" w:type="dxa"/>
              <w:end w:w="120" w:type="dxa"/>
            </w:tcMar>
            <w:vAlign w:val="center"/>
          </w:tcPr>
          <w:p>
            <w:pPr>
              <w:spacing w:after="40" w:line="252" w:lineRule="auto"/>
            </w:pPr>
            <w:r>
              <w:rPr>
                <w:color w:val="243746"/>
                <w:sz w:val="18"/>
              </w:rPr>
              <w:t>Stored event status for contradictory acceptance, delivery, or business evidence; the resulting projection remains non-terminal until authorized resolution.</w:t>
            </w:r>
          </w:p>
        </w:tc>
      </w:tr>
      <w:tr>
        <w:trPr>
          <w:cantSplit w:val="true"/>
        </w:trPr>
        <w:tc>
          <w:tcPr>
            <w:tcW w:type="dxa" w:w="2000"/>
            <w:tcMar>
              <w:top w:w="80" w:type="dxa"/>
              <w:start w:w="120" w:type="dxa"/>
              <w:bottom w:w="80" w:type="dxa"/>
              <w:end w:w="120" w:type="dxa"/>
            </w:tcMar>
            <w:vAlign w:val="center"/>
          </w:tcPr>
          <w:p>
            <w:pPr>
              <w:spacing w:after="40" w:line="252" w:lineRule="auto"/>
            </w:pPr>
            <w:r>
              <w:rPr>
                <w:color w:val="243746"/>
                <w:sz w:val="18"/>
              </w:rPr>
              <w:t>Correction</w:t>
            </w:r>
          </w:p>
        </w:tc>
        <w:tc>
          <w:tcPr>
            <w:tcW w:type="dxa" w:w="7360"/>
            <w:tcMar>
              <w:top w:w="80" w:type="dxa"/>
              <w:start w:w="120" w:type="dxa"/>
              <w:bottom w:w="80" w:type="dxa"/>
              <w:end w:w="120" w:type="dxa"/>
            </w:tcMar>
            <w:vAlign w:val="center"/>
          </w:tcPr>
          <w:p>
            <w:pPr>
              <w:spacing w:after="40" w:line="252" w:lineRule="auto"/>
            </w:pPr>
            <w:r>
              <w:rPr>
                <w:color w:val="243746"/>
                <w:sz w:val="18"/>
              </w:rPr>
              <w:t>A new event that identifies and corrects or supersedes an earlier assertion while preserving the original record.</w:t>
            </w:r>
          </w:p>
        </w:tc>
      </w:tr>
    </w:tbl>
    <w:p>
      <w:pPr>
        <w:spacing w:after="40"/>
      </w:pPr>
    </w:p>
    <w:p>
      <w:pPr>
        <w:pStyle w:val="Heading1"/>
      </w:pPr>
      <w:r>
        <w:t>4. Event model and authorized producers</w:t>
      </w:r>
    </w:p>
    <w:p>
      <w:pPr>
        <w:pStyle w:val="Heading2"/>
      </w:pPr>
      <w:r>
        <w:t>4.1 Logical event categories</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1500"/>
        <w:gridCol w:w="3400"/>
        <w:gridCol w:w="4460"/>
      </w:tblGrid>
      <w:tr>
        <w:trPr>
          <w:tblHeader w:val="true"/>
          <w:cantSplit w:val="true"/>
        </w:trPr>
        <w:tc>
          <w:tcPr>
            <w:tcW w:type="dxa" w:w="1500"/>
            <w:shd w:fill="E8EEF5"/>
            <w:tcMar>
              <w:top w:w="80" w:type="dxa"/>
              <w:start w:w="120" w:type="dxa"/>
              <w:bottom w:w="80" w:type="dxa"/>
              <w:end w:w="120" w:type="dxa"/>
            </w:tcMar>
            <w:vAlign w:val="center"/>
          </w:tcPr>
          <w:p>
            <w:r>
              <w:rPr>
                <w:b/>
                <w:color w:val="16324F"/>
                <w:sz w:val="18"/>
              </w:rPr>
              <w:t>Category</w:t>
            </w:r>
          </w:p>
        </w:tc>
        <w:tc>
          <w:tcPr>
            <w:tcW w:type="dxa" w:w="3400"/>
            <w:shd w:fill="E8EEF5"/>
            <w:tcMar>
              <w:top w:w="80" w:type="dxa"/>
              <w:start w:w="120" w:type="dxa"/>
              <w:bottom w:w="80" w:type="dxa"/>
              <w:end w:w="120" w:type="dxa"/>
            </w:tcMar>
            <w:vAlign w:val="center"/>
          </w:tcPr>
          <w:p>
            <w:r>
              <w:rPr>
                <w:b/>
                <w:color w:val="16324F"/>
                <w:sz w:val="18"/>
              </w:rPr>
              <w:t>When written</w:t>
            </w:r>
          </w:p>
        </w:tc>
        <w:tc>
          <w:tcPr>
            <w:tcW w:type="dxa" w:w="4460"/>
            <w:shd w:fill="E8EEF5"/>
            <w:tcMar>
              <w:top w:w="80" w:type="dxa"/>
              <w:start w:w="120" w:type="dxa"/>
              <w:bottom w:w="80" w:type="dxa"/>
              <w:end w:w="120" w:type="dxa"/>
            </w:tcMar>
            <w:vAlign w:val="center"/>
          </w:tcPr>
          <w:p>
            <w:r>
              <w:rPr>
                <w:b/>
                <w:color w:val="16324F"/>
                <w:sz w:val="18"/>
              </w:rPr>
              <w:t>Core rule</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Intent</w:t>
            </w:r>
          </w:p>
        </w:tc>
        <w:tc>
          <w:tcPr>
            <w:tcW w:type="dxa" w:w="3400"/>
            <w:tcMar>
              <w:top w:w="80" w:type="dxa"/>
              <w:start w:w="120" w:type="dxa"/>
              <w:bottom w:w="80" w:type="dxa"/>
              <w:end w:w="120" w:type="dxa"/>
            </w:tcMar>
            <w:vAlign w:val="center"/>
          </w:tcPr>
          <w:p>
            <w:pPr>
              <w:spacing w:after="40" w:line="252" w:lineRule="auto"/>
            </w:pPr>
            <w:r>
              <w:rPr>
                <w:color w:val="243746"/>
                <w:sz w:val="18"/>
              </w:rPr>
              <w:t>Before any Notifyre, EMR, clearinghouse, model gateway, or other external side-effect call</w:t>
            </w:r>
          </w:p>
        </w:tc>
        <w:tc>
          <w:tcPr>
            <w:tcW w:type="dxa" w:w="4460"/>
            <w:tcMar>
              <w:top w:w="80" w:type="dxa"/>
              <w:start w:w="120" w:type="dxa"/>
              <w:bottom w:w="80" w:type="dxa"/>
              <w:end w:w="120" w:type="dxa"/>
            </w:tcMar>
            <w:vAlign w:val="center"/>
          </w:tcPr>
          <w:p>
            <w:pPr>
              <w:spacing w:after="40" w:line="252" w:lineRule="auto"/>
            </w:pPr>
            <w:r>
              <w:rPr>
                <w:color w:val="243746"/>
                <w:sz w:val="18"/>
              </w:rPr>
              <w:t>Must commit before the call and carry the new operation_id.</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Submission</w:t>
            </w:r>
          </w:p>
        </w:tc>
        <w:tc>
          <w:tcPr>
            <w:tcW w:type="dxa" w:w="3400"/>
            <w:tcMar>
              <w:top w:w="80" w:type="dxa"/>
              <w:start w:w="120" w:type="dxa"/>
              <w:bottom w:w="80" w:type="dxa"/>
              <w:end w:w="120" w:type="dxa"/>
            </w:tcMar>
            <w:vAlign w:val="center"/>
          </w:tcPr>
          <w:p>
            <w:pPr>
              <w:spacing w:after="40" w:line="252" w:lineRule="auto"/>
            </w:pPr>
            <w:r>
              <w:rPr>
                <w:color w:val="243746"/>
                <w:sz w:val="18"/>
              </w:rPr>
              <w:t>Immediately after the call returns or its result becomes indeterminate</w:t>
            </w:r>
          </w:p>
        </w:tc>
        <w:tc>
          <w:tcPr>
            <w:tcW w:type="dxa" w:w="4460"/>
            <w:tcMar>
              <w:top w:w="80" w:type="dxa"/>
              <w:start w:w="120" w:type="dxa"/>
              <w:bottom w:w="80" w:type="dxa"/>
              <w:end w:w="120" w:type="dxa"/>
            </w:tcMar>
            <w:vAlign w:val="center"/>
          </w:tcPr>
          <w:p>
            <w:pPr>
              <w:spacing w:after="40" w:line="252" w:lineRule="auto"/>
            </w:pPr>
            <w:r>
              <w:rPr>
                <w:color w:val="243746"/>
                <w:sz w:val="18"/>
              </w:rPr>
              <w:t>Exactly describes accepted, rejected, or submission_indeterminate; never invents delivery.</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Delivery</w:t>
            </w:r>
          </w:p>
        </w:tc>
        <w:tc>
          <w:tcPr>
            <w:tcW w:type="dxa" w:w="3400"/>
            <w:tcMar>
              <w:top w:w="80" w:type="dxa"/>
              <w:start w:w="120" w:type="dxa"/>
              <w:bottom w:w="80" w:type="dxa"/>
              <w:end w:w="120" w:type="dxa"/>
            </w:tcMar>
            <w:vAlign w:val="center"/>
          </w:tcPr>
          <w:p>
            <w:pPr>
              <w:spacing w:after="40" w:line="252" w:lineRule="auto"/>
            </w:pPr>
            <w:r>
              <w:rPr>
                <w:color w:val="243746"/>
                <w:sz w:val="18"/>
              </w:rPr>
              <w:t>From provider callback, provider lookup, or verified delivery result</w:t>
            </w:r>
          </w:p>
        </w:tc>
        <w:tc>
          <w:tcPr>
            <w:tcW w:type="dxa" w:w="4460"/>
            <w:tcMar>
              <w:top w:w="80" w:type="dxa"/>
              <w:start w:w="120" w:type="dxa"/>
              <w:bottom w:w="80" w:type="dxa"/>
              <w:end w:w="120" w:type="dxa"/>
            </w:tcMar>
            <w:vAlign w:val="center"/>
          </w:tcPr>
          <w:p>
            <w:pPr>
              <w:spacing w:after="40" w:line="252" w:lineRule="auto"/>
            </w:pPr>
            <w:r>
              <w:rPr>
                <w:color w:val="243746"/>
                <w:sz w:val="18"/>
              </w:rPr>
              <w:t>May arrive out of order; terminal delivery conflicts are retained and flagged.</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Business outcome</w:t>
            </w:r>
          </w:p>
        </w:tc>
        <w:tc>
          <w:tcPr>
            <w:tcW w:type="dxa" w:w="3400"/>
            <w:tcMar>
              <w:top w:w="80" w:type="dxa"/>
              <w:start w:w="120" w:type="dxa"/>
              <w:bottom w:w="80" w:type="dxa"/>
              <w:end w:w="120" w:type="dxa"/>
            </w:tcMar>
            <w:vAlign w:val="center"/>
          </w:tcPr>
          <w:p>
            <w:pPr>
              <w:spacing w:after="40" w:line="252" w:lineRule="auto"/>
            </w:pPr>
            <w:r>
              <w:rPr>
                <w:color w:val="243746"/>
                <w:sz w:val="18"/>
              </w:rPr>
              <w:t>When the domain result is verified, such as an EMR appointment update</w:t>
            </w:r>
          </w:p>
        </w:tc>
        <w:tc>
          <w:tcPr>
            <w:tcW w:type="dxa" w:w="4460"/>
            <w:tcMar>
              <w:top w:w="80" w:type="dxa"/>
              <w:start w:w="120" w:type="dxa"/>
              <w:bottom w:w="80" w:type="dxa"/>
              <w:end w:w="120" w:type="dxa"/>
            </w:tcMar>
            <w:vAlign w:val="center"/>
          </w:tcPr>
          <w:p>
            <w:pPr>
              <w:spacing w:after="40" w:line="252" w:lineRule="auto"/>
            </w:pPr>
            <w:r>
              <w:rPr>
                <w:color w:val="243746"/>
                <w:sz w:val="18"/>
              </w:rPr>
              <w:t>Links to the operation and business resource; does not reuse correlation_id as workflow identity.</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Observation</w:t>
            </w:r>
          </w:p>
        </w:tc>
        <w:tc>
          <w:tcPr>
            <w:tcW w:type="dxa" w:w="3400"/>
            <w:tcMar>
              <w:top w:w="80" w:type="dxa"/>
              <w:start w:w="120" w:type="dxa"/>
              <w:bottom w:w="80" w:type="dxa"/>
              <w:end w:w="120" w:type="dxa"/>
            </w:tcMar>
            <w:vAlign w:val="center"/>
          </w:tcPr>
          <w:p>
            <w:pPr>
              <w:spacing w:after="40" w:line="252" w:lineRule="auto"/>
            </w:pPr>
            <w:r>
              <w:rPr>
                <w:color w:val="243746"/>
                <w:sz w:val="18"/>
              </w:rPr>
              <w:t>When a valid inbound fact or material internal fact is durably accepted</w:t>
            </w:r>
          </w:p>
        </w:tc>
        <w:tc>
          <w:tcPr>
            <w:tcW w:type="dxa" w:w="4460"/>
            <w:tcMar>
              <w:top w:w="80" w:type="dxa"/>
              <w:start w:w="120" w:type="dxa"/>
              <w:bottom w:w="80" w:type="dxa"/>
              <w:end w:w="120" w:type="dxa"/>
            </w:tcMar>
            <w:vAlign w:val="center"/>
          </w:tcPr>
          <w:p>
            <w:pPr>
              <w:spacing w:after="40" w:line="252" w:lineRule="auto"/>
            </w:pPr>
            <w:r>
              <w:rPr>
                <w:color w:val="243746"/>
                <w:sz w:val="18"/>
              </w:rPr>
              <w:t>Single completed event; no synthetic intent is created.</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Correction</w:t>
            </w:r>
          </w:p>
        </w:tc>
        <w:tc>
          <w:tcPr>
            <w:tcW w:type="dxa" w:w="3400"/>
            <w:tcMar>
              <w:top w:w="80" w:type="dxa"/>
              <w:start w:w="120" w:type="dxa"/>
              <w:bottom w:w="80" w:type="dxa"/>
              <w:end w:w="120" w:type="dxa"/>
            </w:tcMar>
            <w:vAlign w:val="center"/>
          </w:tcPr>
          <w:p>
            <w:pPr>
              <w:spacing w:after="40" w:line="252" w:lineRule="auto"/>
            </w:pPr>
            <w:r>
              <w:rPr>
                <w:color w:val="243746"/>
                <w:sz w:val="18"/>
              </w:rPr>
              <w:t>When an authorized process determines an earlier assertion or metadata value was wrong</w:t>
            </w:r>
          </w:p>
        </w:tc>
        <w:tc>
          <w:tcPr>
            <w:tcW w:type="dxa" w:w="4460"/>
            <w:tcMar>
              <w:top w:w="80" w:type="dxa"/>
              <w:start w:w="120" w:type="dxa"/>
              <w:bottom w:w="80" w:type="dxa"/>
              <w:end w:w="120" w:type="dxa"/>
            </w:tcMar>
            <w:vAlign w:val="center"/>
          </w:tcPr>
          <w:p>
            <w:pPr>
              <w:spacing w:after="40" w:line="252" w:lineRule="auto"/>
            </w:pPr>
            <w:r>
              <w:rPr>
                <w:color w:val="243746"/>
                <w:sz w:val="18"/>
              </w:rPr>
              <w:t>References the corrected event and supplies reason, actor/workload, and replacement semantics.</w:t>
            </w:r>
          </w:p>
        </w:tc>
      </w:tr>
    </w:tbl>
    <w:p>
      <w:pPr>
        <w:spacing w:after="40"/>
      </w:pPr>
    </w:p>
    <w:p>
      <w:r>
        <w:t>Conflict vocabulary distinguishes unknown outcomes from contradictory evidence. The term indeterminate is reserved for an outcome that is not yet known, represented by {action}_submission_indeterminate and the stored non-terminal status indeterminate. A competing provider acceptance is recorded by the immutable event type {action}_acceptance_conflict and projects acceptance_conflict_requires_reconciliation. Contradictory verified delivery or business outcomes are recorded by {action}_delivery_conflict and project delivery_conflict_requires_reconciliation. Both conflict event types carry the stored status conflict, scoped stored_event. The two *_conflict_requires_reconciliation statuses are projection-only, explicitly non-terminal, and resolvable only by authorized correction or manual resolution under FR-035.</w:t>
      </w:r>
    </w:p>
    <w:p>
      <w:pPr>
        <w:pStyle w:val="Heading2"/>
      </w:pPr>
      <w:r>
        <w:t>4.2 Producer authority</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1800"/>
        <w:gridCol w:w="3600"/>
        <w:gridCol w:w="3960"/>
      </w:tblGrid>
      <w:tr>
        <w:trPr>
          <w:tblHeader w:val="true"/>
          <w:cantSplit w:val="true"/>
        </w:trPr>
        <w:tc>
          <w:tcPr>
            <w:tcW w:type="dxa" w:w="1800"/>
            <w:shd w:fill="E8EEF5"/>
            <w:tcMar>
              <w:top w:w="80" w:type="dxa"/>
              <w:start w:w="120" w:type="dxa"/>
              <w:bottom w:w="80" w:type="dxa"/>
              <w:end w:w="120" w:type="dxa"/>
            </w:tcMar>
            <w:vAlign w:val="center"/>
          </w:tcPr>
          <w:p>
            <w:r>
              <w:rPr>
                <w:b/>
                <w:color w:val="16324F"/>
                <w:sz w:val="18"/>
              </w:rPr>
              <w:t>Producer</w:t>
            </w:r>
          </w:p>
        </w:tc>
        <w:tc>
          <w:tcPr>
            <w:tcW w:type="dxa" w:w="3600"/>
            <w:shd w:fill="E8EEF5"/>
            <w:tcMar>
              <w:top w:w="80" w:type="dxa"/>
              <w:start w:w="120" w:type="dxa"/>
              <w:bottom w:w="80" w:type="dxa"/>
              <w:end w:w="120" w:type="dxa"/>
            </w:tcMar>
            <w:vAlign w:val="center"/>
          </w:tcPr>
          <w:p>
            <w:r>
              <w:rPr>
                <w:b/>
                <w:color w:val="16324F"/>
                <w:sz w:val="18"/>
              </w:rPr>
              <w:t>Permitted writes</w:t>
            </w:r>
          </w:p>
        </w:tc>
        <w:tc>
          <w:tcPr>
            <w:tcW w:type="dxa" w:w="3960"/>
            <w:shd w:fill="E8EEF5"/>
            <w:tcMar>
              <w:top w:w="80" w:type="dxa"/>
              <w:start w:w="120" w:type="dxa"/>
              <w:bottom w:w="80" w:type="dxa"/>
              <w:end w:w="120" w:type="dxa"/>
            </w:tcMar>
            <w:vAlign w:val="center"/>
          </w:tcPr>
          <w:p>
            <w:r>
              <w:rPr>
                <w:b/>
                <w:color w:val="16324F"/>
                <w:sz w:val="18"/>
              </w:rPr>
              <w:t>Boundary</w:t>
            </w:r>
          </w:p>
        </w:tc>
      </w:tr>
      <w:tr>
        <w:trPr>
          <w:cantSplit w:val="true"/>
        </w:trPr>
        <w:tc>
          <w:tcPr>
            <w:tcW w:type="dxa" w:w="1800"/>
            <w:tcMar>
              <w:top w:w="80" w:type="dxa"/>
              <w:start w:w="120" w:type="dxa"/>
              <w:bottom w:w="80" w:type="dxa"/>
              <w:end w:w="120" w:type="dxa"/>
            </w:tcMar>
            <w:vAlign w:val="center"/>
          </w:tcPr>
          <w:p>
            <w:pPr>
              <w:spacing w:after="40" w:line="252" w:lineRule="auto"/>
            </w:pPr>
            <w:r>
              <w:rPr>
                <w:color w:val="243746"/>
                <w:sz w:val="18"/>
              </w:rPr>
              <w:t>Owning workflow</w:t>
            </w:r>
          </w:p>
        </w:tc>
        <w:tc>
          <w:tcPr>
            <w:tcW w:type="dxa" w:w="3600"/>
            <w:tcMar>
              <w:top w:w="80" w:type="dxa"/>
              <w:start w:w="120" w:type="dxa"/>
              <w:bottom w:w="80" w:type="dxa"/>
              <w:end w:w="120" w:type="dxa"/>
            </w:tcMar>
            <w:vAlign w:val="center"/>
          </w:tcPr>
          <w:p>
            <w:pPr>
              <w:spacing w:after="40" w:line="252" w:lineRule="auto"/>
            </w:pPr>
            <w:r>
              <w:rPr>
                <w:color w:val="243746"/>
                <w:sz w:val="18"/>
              </w:rPr>
              <w:t>Intent, submission, verified business outcome</w:t>
            </w:r>
          </w:p>
        </w:tc>
        <w:tc>
          <w:tcPr>
            <w:tcW w:type="dxa" w:w="3960"/>
            <w:tcMar>
              <w:top w:w="80" w:type="dxa"/>
              <w:start w:w="120" w:type="dxa"/>
              <w:bottom w:w="80" w:type="dxa"/>
              <w:end w:w="120" w:type="dxa"/>
            </w:tcMar>
            <w:vAlign w:val="center"/>
          </w:tcPr>
          <w:p>
            <w:pPr>
              <w:spacing w:after="40" w:line="252" w:lineRule="auto"/>
            </w:pPr>
            <w:r>
              <w:rPr>
                <w:color w:val="243746"/>
                <w:sz w:val="18"/>
              </w:rPr>
              <w:t>Must use M01 tenant context and the operation contract; cannot write provider callback facts it did not receive.</w:t>
            </w:r>
          </w:p>
        </w:tc>
      </w:tr>
      <w:tr>
        <w:trPr>
          <w:cantSplit w:val="true"/>
        </w:trPr>
        <w:tc>
          <w:tcPr>
            <w:tcW w:type="dxa" w:w="1800"/>
            <w:tcMar>
              <w:top w:w="80" w:type="dxa"/>
              <w:start w:w="120" w:type="dxa"/>
              <w:bottom w:w="80" w:type="dxa"/>
              <w:end w:w="120" w:type="dxa"/>
            </w:tcMar>
            <w:vAlign w:val="center"/>
          </w:tcPr>
          <w:p>
            <w:pPr>
              <w:spacing w:after="40" w:line="252" w:lineRule="auto"/>
            </w:pPr>
            <w:r>
              <w:rPr>
                <w:color w:val="243746"/>
                <w:sz w:val="18"/>
              </w:rPr>
              <w:t>M03 webhook worker</w:t>
            </w:r>
          </w:p>
        </w:tc>
        <w:tc>
          <w:tcPr>
            <w:tcW w:type="dxa" w:w="3600"/>
            <w:tcMar>
              <w:top w:w="80" w:type="dxa"/>
              <w:start w:w="120" w:type="dxa"/>
              <w:bottom w:w="80" w:type="dxa"/>
              <w:end w:w="120" w:type="dxa"/>
            </w:tcMar>
            <w:vAlign w:val="center"/>
          </w:tcPr>
          <w:p>
            <w:pPr>
              <w:spacing w:after="40" w:line="252" w:lineRule="auto"/>
            </w:pPr>
            <w:r>
              <w:rPr>
                <w:color w:val="243746"/>
                <w:sz w:val="18"/>
              </w:rPr>
              <w:t>Validated inbound observations and delivery facts</w:t>
            </w:r>
          </w:p>
        </w:tc>
        <w:tc>
          <w:tcPr>
            <w:tcW w:type="dxa" w:w="3960"/>
            <w:tcMar>
              <w:top w:w="80" w:type="dxa"/>
              <w:start w:w="120" w:type="dxa"/>
              <w:bottom w:w="80" w:type="dxa"/>
              <w:end w:w="120" w:type="dxa"/>
            </w:tcMar>
            <w:vAlign w:val="center"/>
          </w:tcPr>
          <w:p>
            <w:pPr>
              <w:spacing w:after="40" w:line="252" w:lineRule="auto"/>
            </w:pPr>
            <w:r>
              <w:rPr>
                <w:color w:val="243746"/>
                <w:sz w:val="18"/>
              </w:rPr>
              <w:t>Writes only after durable inbox validation/claim; supplies provider provenance and deduplication identity.</w:t>
            </w:r>
          </w:p>
        </w:tc>
      </w:tr>
      <w:tr>
        <w:trPr>
          <w:cantSplit w:val="true"/>
        </w:trPr>
        <w:tc>
          <w:tcPr>
            <w:tcW w:type="dxa" w:w="1800"/>
            <w:tcMar>
              <w:top w:w="80" w:type="dxa"/>
              <w:start w:w="120" w:type="dxa"/>
              <w:bottom w:w="80" w:type="dxa"/>
              <w:end w:w="120" w:type="dxa"/>
            </w:tcMar>
            <w:vAlign w:val="center"/>
          </w:tcPr>
          <w:p>
            <w:pPr>
              <w:spacing w:after="40" w:line="252" w:lineRule="auto"/>
            </w:pPr>
            <w:r>
              <w:rPr>
                <w:color w:val="243746"/>
                <w:sz w:val="18"/>
              </w:rPr>
              <w:t>M06 reconciler</w:t>
            </w:r>
          </w:p>
        </w:tc>
        <w:tc>
          <w:tcPr>
            <w:tcW w:type="dxa" w:w="3600"/>
            <w:tcMar>
              <w:top w:w="80" w:type="dxa"/>
              <w:start w:w="120" w:type="dxa"/>
              <w:bottom w:w="80" w:type="dxa"/>
              <w:end w:w="120" w:type="dxa"/>
            </w:tcMar>
            <w:vAlign w:val="center"/>
          </w:tcPr>
          <w:p>
            <w:pPr>
              <w:spacing w:after="40" w:line="252" w:lineRule="auto"/>
            </w:pPr>
            <w:r>
              <w:rPr>
                <w:color w:val="243746"/>
                <w:sz w:val="18"/>
              </w:rPr>
              <w:t>Recovered submission/delivery facts and indeterminate handoff evidence</w:t>
            </w:r>
          </w:p>
        </w:tc>
        <w:tc>
          <w:tcPr>
            <w:tcW w:type="dxa" w:w="3960"/>
            <w:tcMar>
              <w:top w:w="80" w:type="dxa"/>
              <w:start w:w="120" w:type="dxa"/>
              <w:bottom w:w="80" w:type="dxa"/>
              <w:end w:w="120" w:type="dxa"/>
            </w:tcMar>
            <w:vAlign w:val="center"/>
          </w:tcPr>
          <w:p>
            <w:pPr>
              <w:spacing w:after="40" w:line="252" w:lineRule="auto"/>
            </w:pPr>
            <w:r>
              <w:rPr>
                <w:color w:val="243746"/>
                <w:sz w:val="18"/>
              </w:rPr>
              <w:t>Uses normalized adapter outcomes and an idempotent reconciliation case; never deletes source events.</w:t>
            </w:r>
          </w:p>
        </w:tc>
      </w:tr>
      <w:tr>
        <w:trPr>
          <w:cantSplit w:val="true"/>
        </w:trPr>
        <w:tc>
          <w:tcPr>
            <w:tcW w:type="dxa" w:w="1800"/>
            <w:tcMar>
              <w:top w:w="80" w:type="dxa"/>
              <w:start w:w="120" w:type="dxa"/>
              <w:bottom w:w="80" w:type="dxa"/>
              <w:end w:w="120" w:type="dxa"/>
            </w:tcMar>
            <w:vAlign w:val="center"/>
          </w:tcPr>
          <w:p>
            <w:pPr>
              <w:spacing w:after="40" w:line="252" w:lineRule="auto"/>
            </w:pPr>
            <w:r>
              <w:rPr>
                <w:color w:val="243746"/>
                <w:sz w:val="18"/>
              </w:rPr>
              <w:t>Correction authority</w:t>
            </w:r>
          </w:p>
        </w:tc>
        <w:tc>
          <w:tcPr>
            <w:tcW w:type="dxa" w:w="3600"/>
            <w:tcMar>
              <w:top w:w="80" w:type="dxa"/>
              <w:start w:w="120" w:type="dxa"/>
              <w:bottom w:w="80" w:type="dxa"/>
              <w:end w:w="120" w:type="dxa"/>
            </w:tcMar>
            <w:vAlign w:val="center"/>
          </w:tcPr>
          <w:p>
            <w:pPr>
              <w:spacing w:after="40" w:line="252" w:lineRule="auto"/>
            </w:pPr>
            <w:r>
              <w:rPr>
                <w:color w:val="243746"/>
                <w:sz w:val="18"/>
              </w:rPr>
              <w:t>Correction/supersession events</w:t>
            </w:r>
          </w:p>
        </w:tc>
        <w:tc>
          <w:tcPr>
            <w:tcW w:type="dxa" w:w="3960"/>
            <w:tcMar>
              <w:top w:w="80" w:type="dxa"/>
              <w:start w:w="120" w:type="dxa"/>
              <w:bottom w:w="80" w:type="dxa"/>
              <w:end w:w="120" w:type="dxa"/>
            </w:tcMar>
            <w:vAlign w:val="center"/>
          </w:tcPr>
          <w:p>
            <w:pPr>
              <w:spacing w:after="40" w:line="252" w:lineRule="auto"/>
            </w:pPr>
            <w:r>
              <w:rPr>
                <w:color w:val="243746"/>
                <w:sz w:val="18"/>
              </w:rPr>
              <w:t>Restricted capability, controlled reason code, and enhanced audit; ordinary runtime cannot rewrite history.</w:t>
            </w:r>
          </w:p>
        </w:tc>
      </w:tr>
      <w:tr>
        <w:trPr>
          <w:cantSplit w:val="true"/>
        </w:trPr>
        <w:tc>
          <w:tcPr>
            <w:tcW w:type="dxa" w:w="1800"/>
            <w:tcMar>
              <w:top w:w="80" w:type="dxa"/>
              <w:start w:w="120" w:type="dxa"/>
              <w:bottom w:w="80" w:type="dxa"/>
              <w:end w:w="120" w:type="dxa"/>
            </w:tcMar>
            <w:vAlign w:val="center"/>
          </w:tcPr>
          <w:p>
            <w:pPr>
              <w:spacing w:after="40" w:line="252" w:lineRule="auto"/>
            </w:pPr>
            <w:r>
              <w:rPr>
                <w:color w:val="243746"/>
                <w:sz w:val="18"/>
              </w:rPr>
              <w:t>Read consumer</w:t>
            </w:r>
          </w:p>
        </w:tc>
        <w:tc>
          <w:tcPr>
            <w:tcW w:type="dxa" w:w="3600"/>
            <w:tcMar>
              <w:top w:w="80" w:type="dxa"/>
              <w:start w:w="120" w:type="dxa"/>
              <w:bottom w:w="80" w:type="dxa"/>
              <w:end w:w="120" w:type="dxa"/>
            </w:tcMar>
            <w:vAlign w:val="center"/>
          </w:tcPr>
          <w:p>
            <w:pPr>
              <w:spacing w:after="40" w:line="252" w:lineRule="auto"/>
            </w:pPr>
            <w:r>
              <w:rPr>
                <w:color w:val="243746"/>
                <w:sz w:val="18"/>
              </w:rPr>
              <w:t>No event writes</w:t>
            </w:r>
          </w:p>
        </w:tc>
        <w:tc>
          <w:tcPr>
            <w:tcW w:type="dxa" w:w="3960"/>
            <w:tcMar>
              <w:top w:w="80" w:type="dxa"/>
              <w:start w:w="120" w:type="dxa"/>
              <w:bottom w:w="80" w:type="dxa"/>
              <w:end w:w="120" w:type="dxa"/>
            </w:tcMar>
            <w:vAlign w:val="center"/>
          </w:tcPr>
          <w:p>
            <w:pPr>
              <w:spacing w:after="40" w:line="252" w:lineRule="auto"/>
            </w:pPr>
            <w:r>
              <w:rPr>
                <w:color w:val="243746"/>
                <w:sz w:val="18"/>
              </w:rPr>
              <w:t>Queries projections/timelines within authorized tenant context; cannot mutate or delete events.</w:t>
            </w:r>
          </w:p>
        </w:tc>
      </w:tr>
    </w:tbl>
    <w:p>
      <w:pPr>
        <w:spacing w:after="40"/>
      </w:pPr>
    </w:p>
    <w:p>
      <w:pPr>
        <w:pStyle w:val="Heading1"/>
      </w:pPr>
      <w:r>
        <w:t>5. Functional requirements</w:t>
      </w:r>
    </w:p>
    <w:p>
      <w:pPr>
        <w:spacing w:before="120" w:after="40"/>
      </w:pPr>
      <w:r>
        <w:rPr>
          <w:b/>
          <w:color w:val="2E74B5"/>
        </w:rPr>
        <w:t>M02-FR-001 — Canonical operation identity</w:t>
      </w:r>
      <w:r>
        <w:t xml:space="preserve"> </w:t>
      </w:r>
      <w:r>
        <w:t>Every logical external side effect shall have exactly one operation_id generated from a cryptographically strong UUID implementation before the first execution attempt. The identifier shall be opaque, contain no tenant or patient information, and remain stable for the lifetime of that logical operation.</w:t>
      </w:r>
    </w:p>
    <w:p>
      <w:pPr>
        <w:spacing w:after="100"/>
        <w:ind w:left="317"/>
      </w:pPr>
      <w:r>
        <w:rPr>
          <w:b/>
          <w:color w:val="16324F"/>
        </w:rPr>
        <w:t xml:space="preserve">Acceptance: </w:t>
      </w:r>
      <w:r>
        <w:t>Repeated acquisition of the same persisted operation returns the same operation_id; two distinct logical operations never share one.</w:t>
      </w:r>
    </w:p>
    <w:p>
      <w:pPr>
        <w:spacing w:before="120" w:after="40"/>
      </w:pPr>
      <w:r>
        <w:rPr>
          <w:b/>
          <w:color w:val="2E74B5"/>
        </w:rPr>
        <w:t>M02-FR-002 — Persist before execution</w:t>
      </w:r>
      <w:r>
        <w:t xml:space="preserve"> </w:t>
      </w:r>
      <w:r>
        <w:t>The operation owner shall persist the operation identity and append the intent event in the authorized tenant transaction before making the external call. A failed intent commit shall prevent the call.</w:t>
      </w:r>
    </w:p>
    <w:p>
      <w:pPr>
        <w:spacing w:after="100"/>
        <w:ind w:left="317"/>
      </w:pPr>
      <w:r>
        <w:rPr>
          <w:b/>
          <w:color w:val="16324F"/>
        </w:rPr>
        <w:t xml:space="preserve">Acceptance: </w:t>
      </w:r>
      <w:r>
        <w:t>Failure injection before and during the intent commit produces no external call; a committed intent remains queryable after process termination.</w:t>
      </w:r>
    </w:p>
    <w:p>
      <w:pPr>
        <w:spacing w:before="120" w:after="40"/>
      </w:pPr>
      <w:r>
        <w:rPr>
          <w:b/>
          <w:color w:val="2E74B5"/>
        </w:rPr>
        <w:t>M02-FR-003 — Retry and takeover reuse</w:t>
      </w:r>
      <w:r>
        <w:t xml:space="preserve"> </w:t>
      </w:r>
      <w:r>
        <w:t>All retries, restarts, lease takeovers, and reconciliation attempts for one logical operation shall reuse its persisted operation_id. A new operation_id is permitted only for a new business operation under an owning-module rule that distinguishes resend from retry.</w:t>
      </w:r>
    </w:p>
    <w:p>
      <w:pPr>
        <w:spacing w:after="100"/>
        <w:ind w:left="317"/>
      </w:pPr>
      <w:r>
        <w:rPr>
          <w:b/>
          <w:color w:val="16324F"/>
        </w:rPr>
        <w:t xml:space="preserve">Acceptance: </w:t>
      </w:r>
      <w:r>
        <w:t>Crash/restart and worker-takeover tests show one operation_id across all attempts and no accidental creation of a replacement operation.</w:t>
      </w:r>
    </w:p>
    <w:p>
      <w:pPr>
        <w:spacing w:before="120" w:after="40"/>
      </w:pPr>
      <w:r>
        <w:rPr>
          <w:b/>
          <w:color w:val="2E74B5"/>
        </w:rPr>
        <w:t>M02-FR-004 — Provider idempotency contract</w:t>
      </w:r>
      <w:r>
        <w:t xml:space="preserve"> </w:t>
      </w:r>
      <w:r>
        <w:t>For Notifyre, the persisted operation_id UUID shall be passed byte-for-byte as the provider idempotency key on every initial attempt, retry, restart, and worker takeover. No wrapping, namespacing, or derivation is permitted. A future provider may use a deterministic formatting rule only under an approved provider capability contract and ADR amendment that preserves equality across every takeover path.</w:t>
      </w:r>
    </w:p>
    <w:p>
      <w:pPr>
        <w:spacing w:after="100"/>
        <w:ind w:left="317"/>
      </w:pPr>
      <w:r>
        <w:rPr>
          <w:b/>
          <w:color w:val="16324F"/>
        </w:rPr>
        <w:t xml:space="preserve">Acceptance: </w:t>
      </w:r>
      <w:r>
        <w:t>Notifyre adapter tests prove the transmitted key exactly equals the stored operation_id and remains identical across retry, restart, deployment, and worker takeover.</w:t>
      </w:r>
    </w:p>
    <w:p>
      <w:pPr>
        <w:spacing w:before="120" w:after="40"/>
      </w:pPr>
      <w:r>
        <w:rPr>
          <w:b/>
          <w:color w:val="2E74B5"/>
        </w:rPr>
        <w:t>M02-FR-005 — Immutable event identity</w:t>
      </w:r>
      <w:r>
        <w:t xml:space="preserve"> </w:t>
      </w:r>
      <w:r>
        <w:t>Every event append shall carry one event_id generated before insert and one producer identity. Retrying the same logical append shall reuse its event_id or deterministic producer deduplication key; it shall not create a second equivalent fact.</w:t>
      </w:r>
    </w:p>
    <w:p>
      <w:pPr>
        <w:spacing w:after="100"/>
        <w:ind w:left="317"/>
      </w:pPr>
      <w:r>
        <w:rPr>
          <w:b/>
          <w:color w:val="16324F"/>
        </w:rPr>
        <w:t xml:space="preserve">Acceptance: </w:t>
      </w:r>
      <w:r>
        <w:t>Concurrent duplicate appends yield one stored event and equivalent success responses without suppressing distinct or conflicting provider facts.</w:t>
      </w:r>
    </w:p>
    <w:p>
      <w:pPr>
        <w:spacing w:before="120" w:after="40"/>
      </w:pPr>
      <w:r>
        <w:rPr>
          <w:b/>
          <w:color w:val="2E74B5"/>
        </w:rPr>
        <w:t>M02-FR-006 — Intent semantics</w:t>
      </w:r>
      <w:r>
        <w:t xml:space="preserve"> </w:t>
      </w:r>
      <w:r>
        <w:t>Intent events shall use the {action}_requested convention, classify as intent, use a pending/requested status, carry operation_id, correlation_id, subject or source linkage, and contain no external_id that is not yet known.</w:t>
      </w:r>
    </w:p>
    <w:p>
      <w:pPr>
        <w:spacing w:after="100"/>
        <w:ind w:left="317"/>
      </w:pPr>
      <w:r>
        <w:rPr>
          <w:b/>
          <w:color w:val="16324F"/>
        </w:rPr>
        <w:t xml:space="preserve">Acceptance: </w:t>
      </w:r>
      <w:r>
        <w:t>Schema and contract tests reject an intent with a provider external_id or an outcome-only status.</w:t>
      </w:r>
    </w:p>
    <w:p>
      <w:pPr>
        <w:spacing w:before="120" w:after="40"/>
      </w:pPr>
      <w:r>
        <w:rPr>
          <w:b/>
          <w:color w:val="2E74B5"/>
        </w:rPr>
        <w:t>M02-FR-007 — Submission outcomes</w:t>
      </w:r>
      <w:r>
        <w:t xml:space="preserve"> </w:t>
      </w:r>
      <w:r>
        <w:t>After an external call, the producer shall append exactly the known submission fact: {action}_accepted when the provider accepts, {action}_rejected for a definitive submission rejection, or {action}_submission_indeterminate when the result cannot be determined. A rejection shall not be represented as acceptance followed by delivery failure.</w:t>
      </w:r>
    </w:p>
    <w:p>
      <w:pPr>
        <w:spacing w:after="100"/>
        <w:ind w:left="317"/>
      </w:pPr>
      <w:r>
        <w:rPr>
          <w:b/>
          <w:color w:val="16324F"/>
        </w:rPr>
        <w:t xml:space="preserve">Acceptance: </w:t>
      </w:r>
      <w:r>
        <w:t>Adapter fixtures map accepted, rejected, timeout, connection-loss, and malformed responses to the correct event and no contradictory synthetic event.</w:t>
      </w:r>
    </w:p>
    <w:p>
      <w:pPr>
        <w:spacing w:before="120" w:after="40"/>
      </w:pPr>
      <w:r>
        <w:rPr>
          <w:b/>
          <w:color w:val="2E74B5"/>
        </w:rPr>
        <w:t>M02-FR-008 — Delivery and business outcomes</w:t>
      </w:r>
      <w:r>
        <w:t xml:space="preserve"> </w:t>
      </w:r>
      <w:r>
        <w:t>Delivery or business outcome events shall be appended only from a verified callback, provider lookup, or domain confirmation. They shall link to operation_id and the applicable provider and workflow identifiers. A delivery fact shall not mutate the intent or submission event.</w:t>
      </w:r>
    </w:p>
    <w:p>
      <w:pPr>
        <w:spacing w:after="100"/>
        <w:ind w:left="317"/>
      </w:pPr>
      <w:r>
        <w:rPr>
          <w:b/>
          <w:color w:val="16324F"/>
        </w:rPr>
        <w:t xml:space="preserve">Acceptance: </w:t>
      </w:r>
      <w:r>
        <w:t>A complete operation timeline shows separate intent, submission, and delivery/business facts with stable linkage and provenance.</w:t>
      </w:r>
    </w:p>
    <w:p>
      <w:pPr>
        <w:spacing w:before="120" w:after="40"/>
      </w:pPr>
      <w:r>
        <w:rPr>
          <w:b/>
          <w:color w:val="2E74B5"/>
        </w:rPr>
        <w:t>M02-FR-009 — Inbound observations</w:t>
      </w:r>
      <w:r>
        <w:t xml:space="preserve"> </w:t>
      </w:r>
      <w:r>
        <w:t>Inbound observations such as patient_reply_received, fax_received, sms_stop_received, and sms_start_received shall be represented by one completed append-only event written transactionally with the corresponding accepted state change. They shall not receive a synthetic intent solely to fit the external-operation model.</w:t>
      </w:r>
    </w:p>
    <w:p>
      <w:pPr>
        <w:spacing w:after="100"/>
        <w:ind w:left="317"/>
      </w:pPr>
      <w:r>
        <w:rPr>
          <w:b/>
          <w:color w:val="16324F"/>
        </w:rPr>
        <w:t xml:space="preserve">Acceptance: </w:t>
      </w:r>
      <w:r>
        <w:t>Duplicate inbound processing produces one business observation and one corresponding state change, or returns the prior committed result.</w:t>
      </w:r>
    </w:p>
    <w:p>
      <w:pPr>
        <w:spacing w:before="120" w:after="40"/>
      </w:pPr>
      <w:r>
        <w:rPr>
          <w:b/>
          <w:color w:val="2E74B5"/>
        </w:rPr>
        <w:t>M02-FR-010 — Append-only evidence</w:t>
      </w:r>
      <w:r>
        <w:t xml:space="preserve"> </w:t>
      </w:r>
      <w:r>
        <w:t>The runtime role shall never update or delete event rows. Status progression, recovered outcomes, late callbacks, conflicts, and corrections shall create new events. Append-only events shall have created_at and no updated_at field.</w:t>
      </w:r>
    </w:p>
    <w:p>
      <w:pPr>
        <w:spacing w:after="100"/>
        <w:ind w:left="317"/>
      </w:pPr>
      <w:r>
        <w:rPr>
          <w:b/>
          <w:color w:val="16324F"/>
        </w:rPr>
        <w:t xml:space="preserve">Acceptance: </w:t>
      </w:r>
      <w:r>
        <w:t>Database grants and integration tests deny UPDATE and DELETE to runtime producers while authorized INSERT and read projections continue to work.</w:t>
      </w:r>
    </w:p>
    <w:p>
      <w:pPr>
        <w:spacing w:before="120" w:after="40"/>
      </w:pPr>
      <w:r>
        <w:rPr>
          <w:b/>
          <w:color w:val="2E74B5"/>
        </w:rPr>
        <w:t>M02-FR-011 — Idempotent append</w:t>
      </w:r>
      <w:r>
        <w:t xml:space="preserve"> </w:t>
      </w:r>
      <w:r>
        <w:t>The append interface shall be idempotent under process retry, concurrent delivery, and at-least-once message handling. Deduplication shall be scoped by tenant, producer, and source identity so equivalent retries collapse while distinct provider events and conflicting outcomes remain visible.</w:t>
      </w:r>
    </w:p>
    <w:p>
      <w:pPr>
        <w:spacing w:after="100"/>
        <w:ind w:left="317"/>
      </w:pPr>
      <w:r>
        <w:rPr>
          <w:b/>
          <w:color w:val="16324F"/>
        </w:rPr>
        <w:t xml:space="preserve">Acceptance: </w:t>
      </w:r>
      <w:r>
        <w:t>Concurrency tests prove equivalent duplicates do not multiply and deliberately conflicting terminal callbacks are both retained.</w:t>
      </w:r>
    </w:p>
    <w:p>
      <w:pPr>
        <w:spacing w:before="120" w:after="40"/>
      </w:pPr>
      <w:r>
        <w:rPr>
          <w:b/>
          <w:color w:val="2E74B5"/>
        </w:rPr>
        <w:t>M02-FR-012 — Subject and source linkage</w:t>
      </w:r>
      <w:r>
        <w:t xml:space="preserve"> </w:t>
      </w:r>
      <w:r>
        <w:t>patient_id may be null when the patient is unknown. Every event shall still carry an authorized subject or source reference sufficient to locate its business context, such as appointment_id, inbound_fax_log_id, outbound_sms_log_id, outbound_fax_log_id, batch_job_run_id, or an approved typed subject reference.</w:t>
      </w:r>
    </w:p>
    <w:p>
      <w:pPr>
        <w:spacing w:after="100"/>
        <w:ind w:left="317"/>
      </w:pPr>
      <w:r>
        <w:rPr>
          <w:b/>
          <w:color w:val="16324F"/>
        </w:rPr>
        <w:t xml:space="preserve">Acceptance: </w:t>
      </w:r>
      <w:r>
        <w:t>The database rejects an event with neither patient_id nor an approved subject/source reference.</w:t>
      </w:r>
    </w:p>
    <w:p>
      <w:pPr>
        <w:spacing w:before="120" w:after="40"/>
      </w:pPr>
      <w:r>
        <w:rPr>
          <w:b/>
          <w:color w:val="2E74B5"/>
        </w:rPr>
        <w:t>M02-FR-013 — Timestamp semantics</w:t>
      </w:r>
      <w:r>
        <w:t xml:space="preserve"> </w:t>
      </w:r>
      <w:r>
        <w:t>Events shall distinguish occurred_at, received_at, and created_at. occurred_at records the source or provider event time when trustworthy; received_at records platform receipt; created_at records database insertion. All timestamps use UTC with timezone semantics and retain source clock/provenance indicators where needed.</w:t>
      </w:r>
    </w:p>
    <w:p>
      <w:pPr>
        <w:spacing w:after="100"/>
        <w:ind w:left="317"/>
      </w:pPr>
      <w:r>
        <w:rPr>
          <w:b/>
          <w:color w:val="16324F"/>
        </w:rPr>
        <w:t xml:space="preserve">Acceptance: </w:t>
      </w:r>
      <w:r>
        <w:t>Out-of-order callback tests show projection order uses trustworthy occurred_at and never silently substitutes receipt order for conflicting facts.</w:t>
      </w:r>
    </w:p>
    <w:p>
      <w:pPr>
        <w:spacing w:before="120" w:after="40"/>
      </w:pPr>
      <w:r>
        <w:rPr>
          <w:b/>
          <w:color w:val="2E74B5"/>
        </w:rPr>
        <w:t>M02-FR-014 — Deterministic projection</w:t>
      </w:r>
      <w:r>
        <w:t xml:space="preserve"> </w:t>
      </w:r>
      <w:r>
        <w:t>Current operation state shall be derived by a versioned deterministic projection over immutable events after correction and equivalent-duplicate handling. Incompatible verified terminal facts are detected before ordinary precedence. Otherwise delivery/business level takes precedence over submission, and submission over intent. Within a compatible level, ordering uses trustworthy occurred_at, controlled status precedence, and the tenant-local append_sequence as the final total-order tiebreaker; received_at alone shall not move a terminal state backward.</w:t>
      </w:r>
    </w:p>
    <w:p>
      <w:pPr>
        <w:spacing w:after="100"/>
        <w:ind w:left="317"/>
      </w:pPr>
      <w:r>
        <w:rPr>
          <w:b/>
          <w:color w:val="16324F"/>
        </w:rPr>
        <w:t xml:space="preserve">Acceptance: </w:t>
      </w:r>
      <w:r>
        <w:t>The same ordered and shuffled fixtures, including equal timestamps and equal-precedence statuses, produce the same projection result, controlling event IDs, explanation code, and projection version.</w:t>
      </w:r>
    </w:p>
    <w:p>
      <w:pPr>
        <w:spacing w:before="120" w:after="40"/>
      </w:pPr>
      <w:r>
        <w:rPr>
          <w:b/>
          <w:color w:val="2E74B5"/>
        </w:rPr>
        <w:t>M02-FR-015 — Terminal conflict handling</w:t>
      </w:r>
      <w:r>
        <w:t xml:space="preserve"> </w:t>
      </w:r>
      <w:r>
        <w:t>If two verified terminal delivery or business outcomes conflict, both source facts shall be retained. The event type {action}_delivery_conflict records the contradictory evidence with stored status conflict, while delivery_conflict_requires_reconciliation is the non-terminal projection-only status. The owning integration shall deliver the M05 handoff at least once with a deterministic deduplication key so replay converges to at most one effective staff work item.</w:t>
      </w:r>
    </w:p>
    <w:p>
      <w:pPr>
        <w:spacing w:after="100"/>
        <w:ind w:left="317"/>
      </w:pPr>
      <w:r>
        <w:rPr>
          <w:b/>
          <w:color w:val="16324F"/>
        </w:rPr>
        <w:t xml:space="preserve">Acceptance: </w:t>
      </w:r>
      <w:r>
        <w:t>Conflicting callbacks never overwrite one another; the conflict event stores status conflict; the projection names the controlling conflict evidence and remains non-terminal until authorized resolution; replay and concurrent delivery produce one effective staff item after convergence.</w:t>
      </w:r>
    </w:p>
    <w:p>
      <w:pPr>
        <w:spacing w:before="120" w:after="40"/>
      </w:pPr>
      <w:r>
        <w:rPr>
          <w:b/>
          <w:color w:val="2E74B5"/>
        </w:rPr>
        <w:t>M02-FR-016 — Indeterminate state</w:t>
      </w:r>
      <w:r>
        <w:t xml:space="preserve"> </w:t>
      </w:r>
      <w:r>
        <w:t>indeterminate is a non-terminal event status established by an explicit appended event, not by a wall-clock-only projection. A stale-intent detector or uncertain submission shall append {action}_submission_indeterminate idempotently and deliver the tenant-bound M06 reconciliation handoff at least once. The shared side shall deduplicate by tenant_id plus operation_id so processing converges to at most one effective reconciliation case. M02 shall never resend automatically.</w:t>
      </w:r>
    </w:p>
    <w:p>
      <w:pPr>
        <w:spacing w:after="100"/>
        <w:ind w:left="317"/>
      </w:pPr>
      <w:r>
        <w:rPr>
          <w:b/>
          <w:color w:val="16324F"/>
        </w:rPr>
        <w:t xml:space="preserve">Acceptance: </w:t>
      </w:r>
      <w:r>
        <w:t>A timeout appends durable indeterminate evidence and repeated or concurrent handoffs converge to one effective tenant-bound case without creating a replacement send.</w:t>
      </w:r>
    </w:p>
    <w:p>
      <w:pPr>
        <w:spacing w:before="120" w:after="40"/>
      </w:pPr>
      <w:r>
        <w:rPr>
          <w:b/>
          <w:color w:val="2E74B5"/>
        </w:rPr>
        <w:t>M02-FR-017 — Corrections and supersession</w:t>
      </w:r>
      <w:r>
        <w:t xml:space="preserve"> </w:t>
      </w:r>
      <w:r>
        <w:t>An authorized correction shall append a new event that references corrected_event_id, states a controlled correction reason, identifies the actor/workload, records the correction time, and defines whether selected metadata or the asserted fact is superseded for projection purposes. The original event remains queryable.</w:t>
      </w:r>
    </w:p>
    <w:p>
      <w:pPr>
        <w:spacing w:after="100"/>
        <w:ind w:left="317"/>
      </w:pPr>
      <w:r>
        <w:rPr>
          <w:b/>
          <w:color w:val="16324F"/>
        </w:rPr>
        <w:t xml:space="preserve">Acceptance: </w:t>
      </w:r>
      <w:r>
        <w:t>A corrected timeline shows both the original and correction, and projection output explains which event controls the current view and why.</w:t>
      </w:r>
    </w:p>
    <w:p>
      <w:pPr>
        <w:spacing w:before="120" w:after="40"/>
      </w:pPr>
      <w:r>
        <w:rPr>
          <w:b/>
          <w:color w:val="2E74B5"/>
        </w:rPr>
        <w:t>M02-FR-018 — Reference-controlled vocabulary</w:t>
      </w:r>
      <w:r>
        <w:t xml:space="preserve"> </w:t>
      </w:r>
      <w:r>
        <w:t>Event type and event status codes shall be validated against shared reference tables, stored as stable lowercase VARCHAR codes, and retired by is_active=false rather than deletion. Native PostgreSQL ENUM types shall not be used. Every status shall declare status_scope as stored_event, projection_only, or both; event inserts shall accept only stored_event or both. M02 shall seed conflict as a stored_event status and seed acceptance_conflict_requires_reconciliation and delivery_conflict_requires_reconciliation as non-terminal projection_only statuses, together with the remaining common stored statuses, levels, correction codes, and foundation contracts. Each owning business module shall install its event-type extensions before enabling its producer.</w:t>
      </w:r>
    </w:p>
    <w:p>
      <w:pPr>
        <w:spacing w:after="100"/>
        <w:ind w:left="317"/>
      </w:pPr>
      <w:r>
        <w:rPr>
          <w:b/>
          <w:color w:val="16324F"/>
        </w:rPr>
        <w:t xml:space="preserve">Acceptance: </w:t>
      </w:r>
      <w:r>
        <w:t>Startup and migration checks fail when required codes are absent, incompatible, incorrectly scoped, or active without a supported producer/handler contract. Conflict-event inserts accept status conflict and reject the two projection-only statuses; projections may return those statuses only as non-terminal results; M02 remains independently testable with its core seed set.</w:t>
      </w:r>
    </w:p>
    <w:p>
      <w:pPr>
        <w:spacing w:before="120" w:after="40"/>
      </w:pPr>
      <w:r>
        <w:rPr>
          <w:b/>
          <w:color w:val="2E74B5"/>
        </w:rPr>
        <w:t>M02-FR-019 — Event schema compatibility</w:t>
      </w:r>
      <w:r>
        <w:t xml:space="preserve"> </w:t>
      </w:r>
      <w:r>
        <w:t>Each event type shall have a versioned contract defining permitted level, statuses, required links, metadata schema, terminality, projection behavior, and authorized producers. Additive compatible changes shall not reinterpret historical events; breaking changes require a new contract version or event type.</w:t>
      </w:r>
    </w:p>
    <w:p>
      <w:pPr>
        <w:spacing w:after="100"/>
        <w:ind w:left="317"/>
      </w:pPr>
      <w:r>
        <w:rPr>
          <w:b/>
          <w:color w:val="16324F"/>
        </w:rPr>
        <w:t xml:space="preserve">Acceptance: </w:t>
      </w:r>
      <w:r>
        <w:t>Old fixtures remain readable and project identically after an additive release; incompatible changes are blocked in CI.</w:t>
      </w:r>
    </w:p>
    <w:p>
      <w:pPr>
        <w:spacing w:before="120" w:after="40"/>
      </w:pPr>
      <w:r>
        <w:rPr>
          <w:b/>
          <w:color w:val="2E74B5"/>
        </w:rPr>
        <w:t>M02-FR-020 — Metadata minimum necessary</w:t>
      </w:r>
      <w:r>
        <w:t xml:space="preserve"> </w:t>
      </w:r>
      <w:r>
        <w:t>Event metadata shall be structured and allowlisted per event contract. It shall exclude raw provider payloads, message bodies, full phone numbers, names, dates of birth, diagnosis data, secrets, and unrestricted free text. Sanitized operational detail needed for tenant support remains in Cloud SQL only.</w:t>
      </w:r>
    </w:p>
    <w:p>
      <w:pPr>
        <w:spacing w:after="100"/>
        <w:ind w:left="317"/>
      </w:pPr>
      <w:r>
        <w:rPr>
          <w:b/>
          <w:color w:val="16324F"/>
        </w:rPr>
        <w:t xml:space="preserve">Acceptance: </w:t>
      </w:r>
      <w:r>
        <w:t>Automated schema validation and security review reject prohibited fields and unbounded metadata before release.</w:t>
      </w:r>
    </w:p>
    <w:p>
      <w:pPr>
        <w:spacing w:before="120" w:after="40"/>
      </w:pPr>
      <w:r>
        <w:rPr>
          <w:b/>
          <w:color w:val="2E74B5"/>
        </w:rPr>
        <w:t>M02-FR-021 — Correlation is request-scoped</w:t>
      </w:r>
      <w:r>
        <w:t xml:space="preserve"> </w:t>
      </w:r>
      <w:r>
        <w:t>correlation_id shall link work performed within one inbound request or job-run trigger but shall not serve as durable business-operation identity. Workflows spanning requests shall use operation_id and explicit business links such as outbound_sms_log_id or appointment_id.</w:t>
      </w:r>
    </w:p>
    <w:p>
      <w:pPr>
        <w:spacing w:after="100"/>
        <w:ind w:left="317"/>
      </w:pPr>
      <w:r>
        <w:rPr>
          <w:b/>
          <w:color w:val="16324F"/>
        </w:rPr>
        <w:t xml:space="preserve">Acceptance: </w:t>
      </w:r>
      <w:r>
        <w:t>A send, later patient reply, and later EMR write remain traceable without sharing one fabricated cross-request correlation_id.</w:t>
      </w:r>
    </w:p>
    <w:p>
      <w:pPr>
        <w:spacing w:before="120" w:after="40"/>
      </w:pPr>
      <w:r>
        <w:rPr>
          <w:b/>
          <w:color w:val="2E74B5"/>
        </w:rPr>
        <w:t>M02-FR-022 — Provider identity and provenance</w:t>
      </w:r>
      <w:r>
        <w:t xml:space="preserve"> </w:t>
      </w:r>
      <w:r>
        <w:t>external_id and provider event identifiers shall be stored only with provider/account namespace and provenance. external_id is normally absent on intent, rejection, and submission_indeterminate events and first appears when acceptance or a verified lookup supplies it.</w:t>
      </w:r>
    </w:p>
    <w:p>
      <w:pPr>
        <w:spacing w:after="100"/>
        <w:ind w:left="317"/>
      </w:pPr>
      <w:r>
        <w:rPr>
          <w:b/>
          <w:color w:val="16324F"/>
        </w:rPr>
        <w:t xml:space="preserve">Acceptance: </w:t>
      </w:r>
      <w:r>
        <w:t>Two providers or accounts may reuse the same raw external_id without collision; an event cannot claim an unscoped provider identity.</w:t>
      </w:r>
    </w:p>
    <w:p>
      <w:pPr>
        <w:spacing w:before="120" w:after="40"/>
      </w:pPr>
      <w:r>
        <w:rPr>
          <w:b/>
          <w:color w:val="2E74B5"/>
        </w:rPr>
        <w:t>M02-FR-023 — Normalized adapter outcomes</w:t>
      </w:r>
      <w:r>
        <w:t xml:space="preserve"> </w:t>
      </w:r>
      <w:r>
        <w:t>Provider adapters shall map raw statuses to the M02 normalized outcome contract before appending events. Unknown raw status values shall be retained in sanitized provenance, rejected from ordinary projection behavior, and routed to a controlled compatibility or reconciliation path.</w:t>
      </w:r>
    </w:p>
    <w:p>
      <w:pPr>
        <w:spacing w:after="100"/>
        <w:ind w:left="317"/>
      </w:pPr>
      <w:r>
        <w:rPr>
          <w:b/>
          <w:color w:val="16324F"/>
        </w:rPr>
        <w:t xml:space="preserve">Acceptance: </w:t>
      </w:r>
      <w:r>
        <w:t>Contract tests cover every supported raw provider status and prove unknown values fail safely without being treated as success.</w:t>
      </w:r>
    </w:p>
    <w:p>
      <w:pPr>
        <w:spacing w:before="120" w:after="40"/>
      </w:pPr>
      <w:r>
        <w:rPr>
          <w:b/>
          <w:color w:val="2E74B5"/>
        </w:rPr>
        <w:t>M02-FR-024 — Authorized tenant access</w:t>
      </w:r>
      <w:r>
        <w:t xml:space="preserve"> </w:t>
      </w:r>
      <w:r>
        <w:t>All event append, projection, and timeline operations shall execute through the M01 tenant context and transaction gateway. Tenant-local event repositories shall not accept a caller-supplied schema name or perform cross-tenant queries.</w:t>
      </w:r>
    </w:p>
    <w:p>
      <w:pPr>
        <w:spacing w:after="100"/>
        <w:ind w:left="317"/>
      </w:pPr>
      <w:r>
        <w:rPr>
          <w:b/>
          <w:color w:val="16324F"/>
        </w:rPr>
        <w:t xml:space="preserve">Acceptance: </w:t>
      </w:r>
      <w:r>
        <w:t>Negative tests with forged tenant and subject identifiers cannot read or append events outside the authorized tenant.</w:t>
      </w:r>
    </w:p>
    <w:p>
      <w:pPr>
        <w:spacing w:before="120" w:after="40"/>
      </w:pPr>
      <w:r>
        <w:rPr>
          <w:b/>
          <w:color w:val="2E74B5"/>
        </w:rPr>
        <w:t>M02-FR-025 — PHI-safe event signals</w:t>
      </w:r>
      <w:r>
        <w:t xml:space="preserve"> </w:t>
      </w:r>
      <w:r>
        <w:t>After a database append, the system may publish a non-blocking structured signal to Cloud Logging or an internal observability path. The signal shall contain only structural fields such as pseudonymous tenant reference, event type, status, correlation_id, operation_id where approved, timestamp, and producer; it shall not copy event metadata or error bodies.</w:t>
      </w:r>
    </w:p>
    <w:p>
      <w:pPr>
        <w:spacing w:after="100"/>
        <w:ind w:left="317"/>
      </w:pPr>
      <w:r>
        <w:rPr>
          <w:b/>
          <w:color w:val="16324F"/>
        </w:rPr>
        <w:t xml:space="preserve">Acceptance: </w:t>
      </w:r>
      <w:r>
        <w:t>Logging sink failure does not roll back a committed business event, and log inspection finds no prohibited payload or PHI fields.</w:t>
      </w:r>
    </w:p>
    <w:p>
      <w:pPr>
        <w:spacing w:before="120" w:after="40"/>
      </w:pPr>
      <w:r>
        <w:rPr>
          <w:b/>
          <w:color w:val="2E74B5"/>
        </w:rPr>
        <w:t>M02-FR-026 — Retention and legal disposition</w:t>
      </w:r>
      <w:r>
        <w:t xml:space="preserve"> </w:t>
      </w:r>
      <w:r>
        <w:t>Event evidence shall be retained according to an approved clinical, contractual, privacy, security, and legal-hold policy. Ordinary application and support roles shall not delete event evidence. Any archival, export, or destruction mechanism shall preserve provenance, authorization, scope, and evidence of completion.</w:t>
      </w:r>
    </w:p>
    <w:p>
      <w:pPr>
        <w:spacing w:after="100"/>
        <w:ind w:left="317"/>
      </w:pPr>
      <w:r>
        <w:rPr>
          <w:b/>
          <w:color w:val="16324F"/>
        </w:rPr>
        <w:t xml:space="preserve">Acceptance: </w:t>
      </w:r>
      <w:r>
        <w:t>Retention jobs cannot bypass legal hold or use runtime credentials, and a sampled disposition produces reviewable evidence.</w:t>
      </w:r>
    </w:p>
    <w:p>
      <w:pPr>
        <w:spacing w:before="120" w:after="40"/>
      </w:pPr>
      <w:r>
        <w:rPr>
          <w:b/>
          <w:color w:val="2E74B5"/>
        </w:rPr>
        <w:t>M02-FR-027 — Shared control tenant binding</w:t>
      </w:r>
      <w:r>
        <w:t xml:space="preserve"> </w:t>
      </w:r>
      <w:r>
        <w:t>Every shared control row derived from tenant evidence, including shared.reconciliation_cases, shall carry mandatory tenant_id written from the trusted M01 tenant context and never from caller input. A shared-to-tenant event or work-item link shall store tenant_id plus the target identifier and shall be verified against the resolved tenant schema at write and resolution time; it shall not claim an unenforceable cross-schema foreign key.</w:t>
      </w:r>
    </w:p>
    <w:p>
      <w:pPr>
        <w:spacing w:after="100"/>
        <w:ind w:left="317"/>
      </w:pPr>
      <w:r>
        <w:rPr>
          <w:b/>
          <w:color w:val="16324F"/>
        </w:rPr>
        <w:t xml:space="preserve">Acceptance: </w:t>
      </w:r>
      <w:r>
        <w:t>Forged tenant bindings and cross-tenant resolution/work-item identifiers are rejected; valid shared rows can be traced to exactly one authorized tenant schema.</w:t>
      </w:r>
    </w:p>
    <w:p>
      <w:pPr>
        <w:spacing w:before="120" w:after="40"/>
      </w:pPr>
      <w:r>
        <w:rPr>
          <w:b/>
          <w:color w:val="2E74B5"/>
        </w:rPr>
        <w:t>M02-FR-028 — At-least-once control handoff</w:t>
      </w:r>
      <w:r>
        <w:t xml:space="preserve"> </w:t>
      </w:r>
      <w:r>
        <w:t>Event-to-reconciliation and event-to-work-queue handoffs shall use at-least-once delivery with deterministic tenant-scoped deduplication keys. Every handoff shall have a crash-durable trigger committed atomically with its source event/control record or re-derivable from committed event evidence by a scheduled detector; in-process state alone does not satisfy at-least-once delivery. When a scheduled detector is used, M02 owns the evidence/query contract, M06 owns detector scheduling and execution, M06 owns reconciliation-case lifecycle, and M05 owns staff-work-item lifecycle according to handoff type. Consumers shall idempotently create or return the effective control record. Requirements shall assert one effective record after convergence, not exactly-once execution. Any implementation that updates tenant and shared records in one Cloud SQL transaction shall publish and test one global lock order before release.</w:t>
      </w:r>
    </w:p>
    <w:p>
      <w:pPr>
        <w:spacing w:after="100"/>
        <w:ind w:left="317"/>
      </w:pPr>
      <w:r>
        <w:rPr>
          <w:b/>
          <w:color w:val="16324F"/>
        </w:rPr>
        <w:t xml:space="preserve">Acceptance: </w:t>
      </w:r>
      <w:r>
        <w:t>Failure injection between event commit and handoff, plus concurrent retries, proves the durable trigger can be recovered by the named owner and converges to one effective case or work item without deadlock.</w:t>
      </w:r>
    </w:p>
    <w:p>
      <w:pPr>
        <w:spacing w:before="120" w:after="40"/>
      </w:pPr>
      <w:r>
        <w:rPr>
          <w:b/>
          <w:color w:val="2E74B5"/>
        </w:rPr>
        <w:t>M02-FR-029 — Canonical provider acceptance identity</w:t>
      </w:r>
      <w:r>
        <w:t xml:space="preserve"> </w:t>
      </w:r>
      <w:r>
        <w:t>At most one canonical provider acceptance identity shall bind to one operation_id. The database shall enforce the canonical binding, using a tenant-local partial unique acceptance constraint or equivalent binding record. A second distinct provider identity shall not be discarded: it shall be retained as the separately typed event {action}_acceptance_conflict with stored status conflict, project the non-terminal status acceptance_conflict_requires_reconciliation, and deliver a crash-durable M05 handoff under FR-028. The canonical binding remains controlling until an authorized correction or manual resolution appends replacement evidence.</w:t>
      </w:r>
    </w:p>
    <w:p>
      <w:pPr>
        <w:spacing w:after="100"/>
        <w:ind w:left="317"/>
      </w:pPr>
      <w:r>
        <w:rPr>
          <w:b/>
          <w:color w:val="16324F"/>
        </w:rPr>
        <w:t xml:space="preserve">Acceptance: </w:t>
      </w:r>
      <w:r>
        <w:t>Concurrent equivalent acceptances collapse to one binding; a competing provider identity cannot replace it, remains visible in the conflict timeline with stored status conflict, produces the defined non-terminal projection-only status, and converges to one effective staff item.</w:t>
      </w:r>
    </w:p>
    <w:p>
      <w:pPr>
        <w:spacing w:before="120" w:after="40"/>
      </w:pPr>
      <w:r>
        <w:rPr>
          <w:b/>
          <w:color w:val="2E74B5"/>
        </w:rPr>
        <w:t>M02-FR-030 — Terminal failure handoff</w:t>
      </w:r>
      <w:r>
        <w:t xml:space="preserve"> </w:t>
      </w:r>
      <w:r>
        <w:t>A verified terminal submission, delivery, or business failure requiring operational action shall deliver an M05 handoff at least once using a deterministic key and a controlled failure_reason_code supplied by the owning module. Conflict handling remains a specialized form of this contract.</w:t>
      </w:r>
    </w:p>
    <w:p>
      <w:pPr>
        <w:spacing w:after="100"/>
        <w:ind w:left="317"/>
      </w:pPr>
      <w:r>
        <w:rPr>
          <w:b/>
          <w:color w:val="16324F"/>
        </w:rPr>
        <w:t xml:space="preserve">Acceptance: </w:t>
      </w:r>
      <w:r>
        <w:t>Repeated failure processing and replay converge to one effective staff item with the correct tenant, operation, failure classification, and source evidence.</w:t>
      </w:r>
    </w:p>
    <w:p>
      <w:pPr>
        <w:spacing w:before="120" w:after="40"/>
      </w:pPr>
      <w:r>
        <w:rPr>
          <w:b/>
          <w:color w:val="2E74B5"/>
        </w:rPr>
        <w:t>M02-FR-031 — Correlation ownership and trust boundary</w:t>
      </w:r>
      <w:r>
        <w:t xml:space="preserve"> </w:t>
      </w:r>
      <w:r>
        <w:t>M11 shall govern correlation generation and propagation semantics; each entry-point owner shall generate a correlation_id when trusted infrastructure has not supplied an approved one. M03 shall reject or replace arbitrary public-webhook X-Correlation-ID values unless the sender is on an approved trusted-infrastructure allowlist. M02 shall validate and persist the resulting request-scoped value without treating it as operation identity.</w:t>
      </w:r>
    </w:p>
    <w:p>
      <w:pPr>
        <w:spacing w:after="100"/>
        <w:ind w:left="317"/>
      </w:pPr>
      <w:r>
        <w:rPr>
          <w:b/>
          <w:color w:val="16324F"/>
        </w:rPr>
        <w:t xml:space="preserve">Acceptance: </w:t>
      </w:r>
      <w:r>
        <w:t>Public webhook tests cannot inject an attacker-chosen correlation value; trusted internal propagation and operation-level traceability remain intact.</w:t>
      </w:r>
    </w:p>
    <w:p>
      <w:pPr>
        <w:spacing w:before="120" w:after="40"/>
      </w:pPr>
      <w:r>
        <w:rPr>
          <w:b/>
          <w:color w:val="2E74B5"/>
        </w:rPr>
        <w:t>M02-FR-032 — Shared-schema classification and inventory</w:t>
      </w:r>
      <w:r>
        <w:t xml:space="preserve"> </w:t>
      </w:r>
      <w:r>
        <w:t>Every M02 shared-table column shall be present in the machine-readable M01 data-classification manifest, and CI shall reject an unclassified column or a PHI classification without an approved exception. Each new shared table or reference domain, including ref_event_types, shall be confirmed against the canonical shared-table inventory before migration.</w:t>
      </w:r>
    </w:p>
    <w:p>
      <w:pPr>
        <w:spacing w:after="100"/>
        <w:ind w:left="317"/>
      </w:pPr>
      <w:r>
        <w:rPr>
          <w:b/>
          <w:color w:val="16324F"/>
        </w:rPr>
        <w:t xml:space="preserve">Acceptance: </w:t>
      </w:r>
      <w:r>
        <w:t>Schema CI fails for missing classification or inventory registration and produces an approved manifest for every deployed shared column.</w:t>
      </w:r>
    </w:p>
    <w:p>
      <w:pPr>
        <w:spacing w:before="120" w:after="40"/>
      </w:pPr>
      <w:r>
        <w:rPr>
          <w:b/>
          <w:color w:val="2E74B5"/>
        </w:rPr>
        <w:t>M02-FR-033 — Bulk projection contract</w:t>
      </w:r>
      <w:r>
        <w:t xml:space="preserve"> </w:t>
      </w:r>
      <w:r>
        <w:t>M02 shall expose tenant-scoped bulk operation projection for an approved bounded set of operation_ids, batch/run linkage, or queue query. The contract shall use stable pagination, explicit maximum page and request sizes, projection version and freshness, and per-item explanation/error results; it shall not require one call per operation.</w:t>
      </w:r>
    </w:p>
    <w:p>
      <w:pPr>
        <w:spacing w:after="100"/>
        <w:ind w:left="317"/>
      </w:pPr>
      <w:r>
        <w:rPr>
          <w:b/>
          <w:color w:val="16324F"/>
        </w:rPr>
        <w:t xml:space="preserve">Acceptance: </w:t>
      </w:r>
      <w:r>
        <w:t>Representative M06 and M10 consumers retrieve a run or queue without N+1 projection calls, unbounded responses, cross-tenant leakage, or inconsistent projection versions.</w:t>
      </w:r>
    </w:p>
    <w:p>
      <w:pPr>
        <w:spacing w:before="120" w:after="40"/>
      </w:pPr>
      <w:r>
        <w:rPr>
          <w:b/>
          <w:color w:val="2E74B5"/>
        </w:rPr>
        <w:t>M02-FR-034 — Event-signal latency</w:t>
      </w:r>
      <w:r>
        <w:t xml:space="preserve"> </w:t>
      </w:r>
      <w:r>
        <w:t>The non-authoritative structured event signal shall have an approved and measured commit-to-publication latency objective. Breach shall alert the M11 owner without rolling back the authoritative event or causing the external side effect to be repeated.</w:t>
      </w:r>
    </w:p>
    <w:p>
      <w:pPr>
        <w:spacing w:after="100"/>
        <w:ind w:left="317"/>
      </w:pPr>
      <w:r>
        <w:rPr>
          <w:b/>
          <w:color w:val="16324F"/>
        </w:rPr>
        <w:t xml:space="preserve">Acceptance: </w:t>
      </w:r>
      <w:r>
        <w:t>Production-like tests measure commit-to-signal latency and prove a delayed or failed signal neither changes event truth nor initiates replay side effects.</w:t>
      </w:r>
    </w:p>
    <w:p>
      <w:pPr>
        <w:spacing w:before="120" w:after="40"/>
      </w:pPr>
      <w:r>
        <w:rPr>
          <w:b/>
          <w:color w:val="2E74B5"/>
        </w:rPr>
        <w:t>M02-FR-035 — Manual resolution and resend safety</w:t>
      </w:r>
      <w:r>
        <w:t xml:space="preserve"> </w:t>
      </w:r>
      <w:r>
        <w:t>Staff reconciliation actions shall append attributable resolution/correction evidence and shall never edit the original event history. Closing a case without authoritative outcome shall not falsely project failure. If authorized staff elect to resend an indeterminate operation, the owning module shall create a new operation_id linked by resend_of_operation_id, record actor and reason, warn that the original may already have succeeded, and execute the complete intent-before-action flow.</w:t>
      </w:r>
    </w:p>
    <w:p>
      <w:pPr>
        <w:spacing w:after="100"/>
        <w:ind w:left="317"/>
      </w:pPr>
      <w:r>
        <w:rPr>
          <w:b/>
          <w:color w:val="16324F"/>
        </w:rPr>
        <w:t xml:space="preserve">Acceptance: </w:t>
      </w:r>
      <w:r>
        <w:t>Manual-resolution tests preserve the original indeterminate history; a resend has a distinct operation_id, explicit authorization/linkage, and cannot be mistaken for a retry of the original.</w:t>
      </w:r>
    </w:p>
    <w:p>
      <w:pPr>
        <w:pStyle w:val="Heading1"/>
      </w:pPr>
      <w:r>
        <w:t>6. Data requirements</w:t>
      </w:r>
    </w:p>
    <w:p>
      <w:pPr>
        <w:pStyle w:val="Heading2"/>
      </w:pPr>
      <w:r>
        <w:t>6.1 Tenant patient_events record</w:t>
      </w:r>
    </w:p>
    <w:p>
      <w:r>
        <w:t>The canonical physical table name remains patient_events for compatibility with requirements v2.4 and ADR-003, even when patient_id is nullable for an approved non-patient observation. M02 uses event_level as the clarified name for ADR-003's submission_level concept. The redundant idempotency_key column named in ADR-003 is superseded by ADR-007: operation_id itself is the Notifyre idempotency key.</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1550"/>
        <w:gridCol w:w="4250"/>
        <w:gridCol w:w="3560"/>
      </w:tblGrid>
      <w:tr>
        <w:trPr>
          <w:tblHeader w:val="true"/>
          <w:cantSplit w:val="true"/>
        </w:trPr>
        <w:tc>
          <w:tcPr>
            <w:tcW w:type="dxa" w:w="1550"/>
            <w:shd w:fill="E8EEF5"/>
            <w:tcMar>
              <w:top w:w="80" w:type="dxa"/>
              <w:start w:w="120" w:type="dxa"/>
              <w:bottom w:w="80" w:type="dxa"/>
              <w:end w:w="120" w:type="dxa"/>
            </w:tcMar>
            <w:vAlign w:val="center"/>
          </w:tcPr>
          <w:p>
            <w:r>
              <w:rPr>
                <w:b/>
                <w:color w:val="16324F"/>
                <w:sz w:val="18"/>
              </w:rPr>
              <w:t>Field group</w:t>
            </w:r>
          </w:p>
        </w:tc>
        <w:tc>
          <w:tcPr>
            <w:tcW w:type="dxa" w:w="4250"/>
            <w:shd w:fill="E8EEF5"/>
            <w:tcMar>
              <w:top w:w="80" w:type="dxa"/>
              <w:start w:w="120" w:type="dxa"/>
              <w:bottom w:w="80" w:type="dxa"/>
              <w:end w:w="120" w:type="dxa"/>
            </w:tcMar>
            <w:vAlign w:val="center"/>
          </w:tcPr>
          <w:p>
            <w:r>
              <w:rPr>
                <w:b/>
                <w:color w:val="16324F"/>
                <w:sz w:val="18"/>
              </w:rPr>
              <w:t>Minimum fields</w:t>
            </w:r>
          </w:p>
        </w:tc>
        <w:tc>
          <w:tcPr>
            <w:tcW w:type="dxa" w:w="3560"/>
            <w:shd w:fill="E8EEF5"/>
            <w:tcMar>
              <w:top w:w="80" w:type="dxa"/>
              <w:start w:w="120" w:type="dxa"/>
              <w:bottom w:w="80" w:type="dxa"/>
              <w:end w:w="120" w:type="dxa"/>
            </w:tcMar>
            <w:vAlign w:val="center"/>
          </w:tcPr>
          <w:p>
            <w:r>
              <w:rPr>
                <w:b/>
                <w:color w:val="16324F"/>
                <w:sz w:val="18"/>
              </w:rPr>
              <w:t>Rules</w:t>
            </w:r>
          </w:p>
        </w:tc>
      </w:tr>
      <w:tr>
        <w:trPr>
          <w:cantSplit w:val="true"/>
        </w:trPr>
        <w:tc>
          <w:tcPr>
            <w:tcW w:type="dxa" w:w="1550"/>
            <w:tcMar>
              <w:top w:w="80" w:type="dxa"/>
              <w:start w:w="120" w:type="dxa"/>
              <w:bottom w:w="80" w:type="dxa"/>
              <w:end w:w="120" w:type="dxa"/>
            </w:tcMar>
            <w:vAlign w:val="center"/>
          </w:tcPr>
          <w:p>
            <w:pPr>
              <w:spacing w:after="40" w:line="252" w:lineRule="auto"/>
            </w:pPr>
            <w:r>
              <w:rPr>
                <w:color w:val="243746"/>
                <w:sz w:val="18"/>
              </w:rPr>
              <w:t>Identity</w:t>
            </w:r>
          </w:p>
        </w:tc>
        <w:tc>
          <w:tcPr>
            <w:tcW w:type="dxa" w:w="4250"/>
            <w:tcMar>
              <w:top w:w="80" w:type="dxa"/>
              <w:start w:w="120" w:type="dxa"/>
              <w:bottom w:w="80" w:type="dxa"/>
              <w:end w:w="120" w:type="dxa"/>
            </w:tcMar>
            <w:vAlign w:val="center"/>
          </w:tcPr>
          <w:p>
            <w:pPr>
              <w:spacing w:after="40" w:line="252" w:lineRule="auto"/>
            </w:pPr>
            <w:r>
              <w:rPr>
                <w:color w:val="243746"/>
                <w:sz w:val="18"/>
              </w:rPr>
              <w:t>event_id; operation_id when applicable; append_sequence; event_contract_version</w:t>
            </w:r>
          </w:p>
        </w:tc>
        <w:tc>
          <w:tcPr>
            <w:tcW w:type="dxa" w:w="3560"/>
            <w:tcMar>
              <w:top w:w="80" w:type="dxa"/>
              <w:start w:w="120" w:type="dxa"/>
              <w:bottom w:w="80" w:type="dxa"/>
              <w:end w:w="120" w:type="dxa"/>
            </w:tcMar>
            <w:vAlign w:val="center"/>
          </w:tcPr>
          <w:p>
            <w:pPr>
              <w:spacing w:after="40" w:line="252" w:lineRule="auto"/>
            </w:pPr>
            <w:r>
              <w:rPr>
                <w:color w:val="243746"/>
                <w:sz w:val="18"/>
              </w:rPr>
              <w:t>event_id immutable; operation_id required for external side effects; append_sequence is tenant-local, database assigned, unique, and the final projection-order tiebreaker over a complete visible event set; it is not a commit-order or resumable replay cursor.</w:t>
            </w:r>
          </w:p>
        </w:tc>
      </w:tr>
      <w:tr>
        <w:trPr>
          <w:cantSplit w:val="true"/>
        </w:trPr>
        <w:tc>
          <w:tcPr>
            <w:tcW w:type="dxa" w:w="1550"/>
            <w:tcMar>
              <w:top w:w="80" w:type="dxa"/>
              <w:start w:w="120" w:type="dxa"/>
              <w:bottom w:w="80" w:type="dxa"/>
              <w:end w:w="120" w:type="dxa"/>
            </w:tcMar>
            <w:vAlign w:val="center"/>
          </w:tcPr>
          <w:p>
            <w:pPr>
              <w:spacing w:after="40" w:line="252" w:lineRule="auto"/>
            </w:pPr>
            <w:r>
              <w:rPr>
                <w:color w:val="243746"/>
                <w:sz w:val="18"/>
              </w:rPr>
              <w:t>Classification</w:t>
            </w:r>
          </w:p>
        </w:tc>
        <w:tc>
          <w:tcPr>
            <w:tcW w:type="dxa" w:w="4250"/>
            <w:tcMar>
              <w:top w:w="80" w:type="dxa"/>
              <w:start w:w="120" w:type="dxa"/>
              <w:bottom w:w="80" w:type="dxa"/>
              <w:end w:w="120" w:type="dxa"/>
            </w:tcMar>
            <w:vAlign w:val="center"/>
          </w:tcPr>
          <w:p>
            <w:pPr>
              <w:spacing w:after="40" w:line="252" w:lineRule="auto"/>
            </w:pPr>
            <w:r>
              <w:rPr>
                <w:color w:val="243746"/>
                <w:sz w:val="18"/>
              </w:rPr>
              <w:t>event_type; event_level; status; channel; direction</w:t>
            </w:r>
          </w:p>
        </w:tc>
        <w:tc>
          <w:tcPr>
            <w:tcW w:type="dxa" w:w="3560"/>
            <w:tcMar>
              <w:top w:w="80" w:type="dxa"/>
              <w:start w:w="120" w:type="dxa"/>
              <w:bottom w:w="80" w:type="dxa"/>
              <w:end w:w="120" w:type="dxa"/>
            </w:tcMar>
            <w:vAlign w:val="center"/>
          </w:tcPr>
          <w:p>
            <w:pPr>
              <w:spacing w:after="40" w:line="252" w:lineRule="auto"/>
            </w:pPr>
            <w:r>
              <w:rPr>
                <w:color w:val="243746"/>
                <w:sz w:val="18"/>
              </w:rPr>
              <w:t>Controlled codes; valid combinations defined by the event contract. An event row may use only a stored_event or both scoped status.</w:t>
            </w:r>
          </w:p>
        </w:tc>
      </w:tr>
      <w:tr>
        <w:trPr>
          <w:cantSplit w:val="true"/>
        </w:trPr>
        <w:tc>
          <w:tcPr>
            <w:tcW w:type="dxa" w:w="1550"/>
            <w:tcMar>
              <w:top w:w="80" w:type="dxa"/>
              <w:start w:w="120" w:type="dxa"/>
              <w:bottom w:w="80" w:type="dxa"/>
              <w:end w:w="120" w:type="dxa"/>
            </w:tcMar>
            <w:vAlign w:val="center"/>
          </w:tcPr>
          <w:p>
            <w:pPr>
              <w:spacing w:after="40" w:line="252" w:lineRule="auto"/>
            </w:pPr>
            <w:r>
              <w:rPr>
                <w:color w:val="243746"/>
                <w:sz w:val="18"/>
              </w:rPr>
              <w:t>Tenant/subject</w:t>
            </w:r>
          </w:p>
        </w:tc>
        <w:tc>
          <w:tcPr>
            <w:tcW w:type="dxa" w:w="4250"/>
            <w:tcMar>
              <w:top w:w="80" w:type="dxa"/>
              <w:start w:w="120" w:type="dxa"/>
              <w:bottom w:w="80" w:type="dxa"/>
              <w:end w:w="120" w:type="dxa"/>
            </w:tcMar>
            <w:vAlign w:val="center"/>
          </w:tcPr>
          <w:p>
            <w:pPr>
              <w:spacing w:after="40" w:line="252" w:lineRule="auto"/>
            </w:pPr>
            <w:r>
              <w:rPr>
                <w:color w:val="243746"/>
                <w:sz w:val="18"/>
              </w:rPr>
              <w:t>tenant binding via M01; patient_id nullable; subject_type/id; appointment/log/batch links</w:t>
            </w:r>
          </w:p>
        </w:tc>
        <w:tc>
          <w:tcPr>
            <w:tcW w:type="dxa" w:w="3560"/>
            <w:tcMar>
              <w:top w:w="80" w:type="dxa"/>
              <w:start w:w="120" w:type="dxa"/>
              <w:bottom w:w="80" w:type="dxa"/>
              <w:end w:w="120" w:type="dxa"/>
            </w:tcMar>
            <w:vAlign w:val="center"/>
          </w:tcPr>
          <w:p>
            <w:pPr>
              <w:spacing w:after="40" w:line="252" w:lineRule="auto"/>
            </w:pPr>
            <w:r>
              <w:rPr>
                <w:color w:val="243746"/>
                <w:sz w:val="18"/>
              </w:rPr>
              <w:t>At least one approved subject/source link; no untrusted cross-tenant reference.</w:t>
            </w:r>
          </w:p>
        </w:tc>
      </w:tr>
      <w:tr>
        <w:trPr>
          <w:cantSplit w:val="true"/>
        </w:trPr>
        <w:tc>
          <w:tcPr>
            <w:tcW w:type="dxa" w:w="1550"/>
            <w:tcMar>
              <w:top w:w="80" w:type="dxa"/>
              <w:start w:w="120" w:type="dxa"/>
              <w:bottom w:w="80" w:type="dxa"/>
              <w:end w:w="120" w:type="dxa"/>
            </w:tcMar>
            <w:vAlign w:val="center"/>
          </w:tcPr>
          <w:p>
            <w:pPr>
              <w:spacing w:after="40" w:line="252" w:lineRule="auto"/>
            </w:pPr>
            <w:r>
              <w:rPr>
                <w:color w:val="243746"/>
                <w:sz w:val="18"/>
              </w:rPr>
              <w:t>Correlation</w:t>
            </w:r>
          </w:p>
        </w:tc>
        <w:tc>
          <w:tcPr>
            <w:tcW w:type="dxa" w:w="4250"/>
            <w:tcMar>
              <w:top w:w="80" w:type="dxa"/>
              <w:start w:w="120" w:type="dxa"/>
              <w:bottom w:w="80" w:type="dxa"/>
              <w:end w:w="120" w:type="dxa"/>
            </w:tcMar>
            <w:vAlign w:val="center"/>
          </w:tcPr>
          <w:p>
            <w:pPr>
              <w:spacing w:after="40" w:line="252" w:lineRule="auto"/>
            </w:pPr>
            <w:r>
              <w:rPr>
                <w:color w:val="243746"/>
                <w:sz w:val="18"/>
              </w:rPr>
              <w:t>correlation_id; causation_event_id when applicable</w:t>
            </w:r>
          </w:p>
        </w:tc>
        <w:tc>
          <w:tcPr>
            <w:tcW w:type="dxa" w:w="3560"/>
            <w:tcMar>
              <w:top w:w="80" w:type="dxa"/>
              <w:start w:w="120" w:type="dxa"/>
              <w:bottom w:w="80" w:type="dxa"/>
              <w:end w:w="120" w:type="dxa"/>
            </w:tcMar>
            <w:vAlign w:val="center"/>
          </w:tcPr>
          <w:p>
            <w:pPr>
              <w:spacing w:after="40" w:line="252" w:lineRule="auto"/>
            </w:pPr>
            <w:r>
              <w:rPr>
                <w:color w:val="243746"/>
                <w:sz w:val="18"/>
              </w:rPr>
              <w:t>correlation_id is request-scoped; causation links one event to a prior triggering event without implying same request.</w:t>
            </w:r>
          </w:p>
        </w:tc>
      </w:tr>
      <w:tr>
        <w:trPr>
          <w:cantSplit w:val="true"/>
        </w:trPr>
        <w:tc>
          <w:tcPr>
            <w:tcW w:type="dxa" w:w="1550"/>
            <w:tcMar>
              <w:top w:w="80" w:type="dxa"/>
              <w:start w:w="120" w:type="dxa"/>
              <w:bottom w:w="80" w:type="dxa"/>
              <w:end w:w="120" w:type="dxa"/>
            </w:tcMar>
            <w:vAlign w:val="center"/>
          </w:tcPr>
          <w:p>
            <w:pPr>
              <w:spacing w:after="40" w:line="252" w:lineRule="auto"/>
            </w:pPr>
            <w:r>
              <w:rPr>
                <w:color w:val="243746"/>
                <w:sz w:val="18"/>
              </w:rPr>
              <w:t>Provider</w:t>
            </w:r>
          </w:p>
        </w:tc>
        <w:tc>
          <w:tcPr>
            <w:tcW w:type="dxa" w:w="4250"/>
            <w:tcMar>
              <w:top w:w="80" w:type="dxa"/>
              <w:start w:w="120" w:type="dxa"/>
              <w:bottom w:w="80" w:type="dxa"/>
              <w:end w:w="120" w:type="dxa"/>
            </w:tcMar>
            <w:vAlign w:val="center"/>
          </w:tcPr>
          <w:p>
            <w:pPr>
              <w:spacing w:after="40" w:line="252" w:lineRule="auto"/>
            </w:pPr>
            <w:r>
              <w:rPr>
                <w:color w:val="243746"/>
                <w:sz w:val="18"/>
              </w:rPr>
              <w:t>provider; provider_account; external_id; provider_event_id/source_event_id</w:t>
            </w:r>
          </w:p>
        </w:tc>
        <w:tc>
          <w:tcPr>
            <w:tcW w:type="dxa" w:w="3560"/>
            <w:tcMar>
              <w:top w:w="80" w:type="dxa"/>
              <w:start w:w="120" w:type="dxa"/>
              <w:bottom w:w="80" w:type="dxa"/>
              <w:end w:w="120" w:type="dxa"/>
            </w:tcMar>
            <w:vAlign w:val="center"/>
          </w:tcPr>
          <w:p>
            <w:pPr>
              <w:spacing w:after="40" w:line="252" w:lineRule="auto"/>
            </w:pPr>
            <w:r>
              <w:rPr>
                <w:color w:val="243746"/>
                <w:sz w:val="18"/>
              </w:rPr>
              <w:t>Namespaced; nullable unless known; supports callback dedupe and provenance.</w:t>
            </w:r>
          </w:p>
        </w:tc>
      </w:tr>
      <w:tr>
        <w:trPr>
          <w:cantSplit w:val="true"/>
        </w:trPr>
        <w:tc>
          <w:tcPr>
            <w:tcW w:type="dxa" w:w="1550"/>
            <w:tcMar>
              <w:top w:w="80" w:type="dxa"/>
              <w:start w:w="120" w:type="dxa"/>
              <w:bottom w:w="80" w:type="dxa"/>
              <w:end w:w="120" w:type="dxa"/>
            </w:tcMar>
            <w:vAlign w:val="center"/>
          </w:tcPr>
          <w:p>
            <w:pPr>
              <w:spacing w:after="40" w:line="252" w:lineRule="auto"/>
            </w:pPr>
            <w:r>
              <w:rPr>
                <w:color w:val="243746"/>
                <w:sz w:val="18"/>
              </w:rPr>
              <w:t>Time</w:t>
            </w:r>
          </w:p>
        </w:tc>
        <w:tc>
          <w:tcPr>
            <w:tcW w:type="dxa" w:w="4250"/>
            <w:tcMar>
              <w:top w:w="80" w:type="dxa"/>
              <w:start w:w="120" w:type="dxa"/>
              <w:bottom w:w="80" w:type="dxa"/>
              <w:end w:w="120" w:type="dxa"/>
            </w:tcMar>
            <w:vAlign w:val="center"/>
          </w:tcPr>
          <w:p>
            <w:pPr>
              <w:spacing w:after="40" w:line="252" w:lineRule="auto"/>
            </w:pPr>
            <w:r>
              <w:rPr>
                <w:color w:val="243746"/>
                <w:sz w:val="18"/>
              </w:rPr>
              <w:t>occurred_at; received_at; created_at; source_time_quality</w:t>
            </w:r>
          </w:p>
        </w:tc>
        <w:tc>
          <w:tcPr>
            <w:tcW w:type="dxa" w:w="3560"/>
            <w:tcMar>
              <w:top w:w="80" w:type="dxa"/>
              <w:start w:w="120" w:type="dxa"/>
              <w:bottom w:w="80" w:type="dxa"/>
              <w:end w:w="120" w:type="dxa"/>
            </w:tcMar>
            <w:vAlign w:val="center"/>
          </w:tcPr>
          <w:p>
            <w:pPr>
              <w:spacing w:after="40" w:line="252" w:lineRule="auto"/>
            </w:pPr>
            <w:r>
              <w:rPr>
                <w:color w:val="243746"/>
                <w:sz w:val="18"/>
              </w:rPr>
              <w:t>UTC; created_at database assigned; source-time trust explicit.</w:t>
            </w:r>
          </w:p>
        </w:tc>
      </w:tr>
      <w:tr>
        <w:trPr>
          <w:cantSplit w:val="true"/>
        </w:trPr>
        <w:tc>
          <w:tcPr>
            <w:tcW w:type="dxa" w:w="1550"/>
            <w:tcMar>
              <w:top w:w="80" w:type="dxa"/>
              <w:start w:w="120" w:type="dxa"/>
              <w:bottom w:w="80" w:type="dxa"/>
              <w:end w:w="120" w:type="dxa"/>
            </w:tcMar>
            <w:vAlign w:val="center"/>
          </w:tcPr>
          <w:p>
            <w:pPr>
              <w:spacing w:after="40" w:line="252" w:lineRule="auto"/>
            </w:pPr>
            <w:r>
              <w:rPr>
                <w:color w:val="243746"/>
                <w:sz w:val="18"/>
              </w:rPr>
              <w:t>Correction</w:t>
            </w:r>
          </w:p>
        </w:tc>
        <w:tc>
          <w:tcPr>
            <w:tcW w:type="dxa" w:w="4250"/>
            <w:tcMar>
              <w:top w:w="80" w:type="dxa"/>
              <w:start w:w="120" w:type="dxa"/>
              <w:bottom w:w="80" w:type="dxa"/>
              <w:end w:w="120" w:type="dxa"/>
            </w:tcMar>
            <w:vAlign w:val="center"/>
          </w:tcPr>
          <w:p>
            <w:pPr>
              <w:spacing w:after="40" w:line="252" w:lineRule="auto"/>
            </w:pPr>
            <w:r>
              <w:rPr>
                <w:color w:val="243746"/>
                <w:sz w:val="18"/>
              </w:rPr>
              <w:t>corrected_event_id; correction_reason; correction_scope</w:t>
            </w:r>
          </w:p>
        </w:tc>
        <w:tc>
          <w:tcPr>
            <w:tcW w:type="dxa" w:w="3560"/>
            <w:tcMar>
              <w:top w:w="80" w:type="dxa"/>
              <w:start w:w="120" w:type="dxa"/>
              <w:bottom w:w="80" w:type="dxa"/>
              <w:end w:w="120" w:type="dxa"/>
            </w:tcMar>
            <w:vAlign w:val="center"/>
          </w:tcPr>
          <w:p>
            <w:pPr>
              <w:spacing w:after="40" w:line="252" w:lineRule="auto"/>
            </w:pPr>
            <w:r>
              <w:rPr>
                <w:color w:val="243746"/>
                <w:sz w:val="18"/>
              </w:rPr>
              <w:t>Present only for correction contract; cannot reference another tenant.</w:t>
            </w:r>
          </w:p>
        </w:tc>
      </w:tr>
      <w:tr>
        <w:trPr>
          <w:cantSplit w:val="true"/>
        </w:trPr>
        <w:tc>
          <w:tcPr>
            <w:tcW w:type="dxa" w:w="1550"/>
            <w:tcMar>
              <w:top w:w="80" w:type="dxa"/>
              <w:start w:w="120" w:type="dxa"/>
              <w:bottom w:w="80" w:type="dxa"/>
              <w:end w:w="120" w:type="dxa"/>
            </w:tcMar>
            <w:vAlign w:val="center"/>
          </w:tcPr>
          <w:p>
            <w:pPr>
              <w:spacing w:after="40" w:line="252" w:lineRule="auto"/>
            </w:pPr>
            <w:r>
              <w:rPr>
                <w:color w:val="243746"/>
                <w:sz w:val="18"/>
              </w:rPr>
              <w:t>Failure/resolution</w:t>
            </w:r>
          </w:p>
        </w:tc>
        <w:tc>
          <w:tcPr>
            <w:tcW w:type="dxa" w:w="4250"/>
            <w:tcMar>
              <w:top w:w="80" w:type="dxa"/>
              <w:start w:w="120" w:type="dxa"/>
              <w:bottom w:w="80" w:type="dxa"/>
              <w:end w:w="120" w:type="dxa"/>
            </w:tcMar>
            <w:vAlign w:val="center"/>
          </w:tcPr>
          <w:p>
            <w:pPr>
              <w:spacing w:after="40" w:line="252" w:lineRule="auto"/>
            </w:pPr>
            <w:r>
              <w:rPr>
                <w:color w:val="243746"/>
                <w:sz w:val="18"/>
              </w:rPr>
              <w:t>failure_reason_code; resolution_path_code; resend_of_operation_id when applicable</w:t>
            </w:r>
          </w:p>
        </w:tc>
        <w:tc>
          <w:tcPr>
            <w:tcW w:type="dxa" w:w="3560"/>
            <w:tcMar>
              <w:top w:w="80" w:type="dxa"/>
              <w:start w:w="120" w:type="dxa"/>
              <w:bottom w:w="80" w:type="dxa"/>
              <w:end w:w="120" w:type="dxa"/>
            </w:tcMar>
            <w:vAlign w:val="center"/>
          </w:tcPr>
          <w:p>
            <w:pPr>
              <w:spacing w:after="40" w:line="252" w:lineRule="auto"/>
            </w:pPr>
            <w:r>
              <w:rPr>
                <w:color w:val="243746"/>
                <w:sz w:val="18"/>
              </w:rPr>
              <w:t>Controlled and nullable; required by applicable failure/manual-resolution contracts; no unrestricted explanation text.</w:t>
            </w:r>
          </w:p>
        </w:tc>
      </w:tr>
      <w:tr>
        <w:trPr>
          <w:cantSplit w:val="true"/>
        </w:trPr>
        <w:tc>
          <w:tcPr>
            <w:tcW w:type="dxa" w:w="1550"/>
            <w:tcMar>
              <w:top w:w="80" w:type="dxa"/>
              <w:start w:w="120" w:type="dxa"/>
              <w:bottom w:w="80" w:type="dxa"/>
              <w:end w:w="120" w:type="dxa"/>
            </w:tcMar>
            <w:vAlign w:val="center"/>
          </w:tcPr>
          <w:p>
            <w:pPr>
              <w:spacing w:after="40" w:line="252" w:lineRule="auto"/>
            </w:pPr>
            <w:r>
              <w:rPr>
                <w:color w:val="243746"/>
                <w:sz w:val="18"/>
              </w:rPr>
              <w:t>Provenance</w:t>
            </w:r>
          </w:p>
        </w:tc>
        <w:tc>
          <w:tcPr>
            <w:tcW w:type="dxa" w:w="4250"/>
            <w:tcMar>
              <w:top w:w="80" w:type="dxa"/>
              <w:start w:w="120" w:type="dxa"/>
              <w:bottom w:w="80" w:type="dxa"/>
              <w:end w:w="120" w:type="dxa"/>
            </w:tcMar>
            <w:vAlign w:val="center"/>
          </w:tcPr>
          <w:p>
            <w:pPr>
              <w:spacing w:after="40" w:line="252" w:lineRule="auto"/>
            </w:pPr>
            <w:r>
              <w:rPr>
                <w:color w:val="243746"/>
                <w:sz w:val="18"/>
              </w:rPr>
              <w:t>producer_service; producer_version; actor/workload identity class; ingest source</w:t>
            </w:r>
          </w:p>
        </w:tc>
        <w:tc>
          <w:tcPr>
            <w:tcW w:type="dxa" w:w="3560"/>
            <w:tcMar>
              <w:top w:w="80" w:type="dxa"/>
              <w:start w:w="120" w:type="dxa"/>
              <w:bottom w:w="80" w:type="dxa"/>
              <w:end w:w="120" w:type="dxa"/>
            </w:tcMar>
            <w:vAlign w:val="center"/>
          </w:tcPr>
          <w:p>
            <w:pPr>
              <w:spacing w:after="40" w:line="252" w:lineRule="auto"/>
            </w:pPr>
            <w:r>
              <w:rPr>
                <w:color w:val="243746"/>
                <w:sz w:val="18"/>
              </w:rPr>
              <w:t>Structured and PHI-minimum; enough to audit who asserted the fact.</w:t>
            </w:r>
          </w:p>
        </w:tc>
      </w:tr>
      <w:tr>
        <w:trPr>
          <w:cantSplit w:val="true"/>
        </w:trPr>
        <w:tc>
          <w:tcPr>
            <w:tcW w:type="dxa" w:w="1550"/>
            <w:tcMar>
              <w:top w:w="80" w:type="dxa"/>
              <w:start w:w="120" w:type="dxa"/>
              <w:bottom w:w="80" w:type="dxa"/>
              <w:end w:w="120" w:type="dxa"/>
            </w:tcMar>
            <w:vAlign w:val="center"/>
          </w:tcPr>
          <w:p>
            <w:pPr>
              <w:spacing w:after="40" w:line="252" w:lineRule="auto"/>
            </w:pPr>
            <w:r>
              <w:rPr>
                <w:color w:val="243746"/>
                <w:sz w:val="18"/>
              </w:rPr>
              <w:t>Metadata</w:t>
            </w:r>
          </w:p>
        </w:tc>
        <w:tc>
          <w:tcPr>
            <w:tcW w:type="dxa" w:w="4250"/>
            <w:tcMar>
              <w:top w:w="80" w:type="dxa"/>
              <w:start w:w="120" w:type="dxa"/>
              <w:bottom w:w="80" w:type="dxa"/>
              <w:end w:w="120" w:type="dxa"/>
            </w:tcMar>
            <w:vAlign w:val="center"/>
          </w:tcPr>
          <w:p>
            <w:pPr>
              <w:spacing w:after="40" w:line="252" w:lineRule="auto"/>
            </w:pPr>
            <w:r>
              <w:rPr>
                <w:color w:val="243746"/>
                <w:sz w:val="18"/>
              </w:rPr>
              <w:t>event-type validated JSON object</w:t>
            </w:r>
          </w:p>
        </w:tc>
        <w:tc>
          <w:tcPr>
            <w:tcW w:type="dxa" w:w="3560"/>
            <w:tcMar>
              <w:top w:w="80" w:type="dxa"/>
              <w:start w:w="120" w:type="dxa"/>
              <w:bottom w:w="80" w:type="dxa"/>
              <w:end w:w="120" w:type="dxa"/>
            </w:tcMar>
            <w:vAlign w:val="center"/>
          </w:tcPr>
          <w:p>
            <w:pPr>
              <w:spacing w:after="40" w:line="252" w:lineRule="auto"/>
            </w:pPr>
            <w:r>
              <w:rPr>
                <w:color w:val="243746"/>
                <w:sz w:val="18"/>
              </w:rPr>
              <w:t>Allowlisted schema and size bound; no raw payload, unrestricted free text, or secrets.</w:t>
            </w:r>
          </w:p>
        </w:tc>
      </w:tr>
    </w:tbl>
    <w:p>
      <w:pPr>
        <w:spacing w:after="40"/>
      </w:pPr>
    </w:p>
    <w:p>
      <w:pPr>
        <w:pStyle w:val="Heading2"/>
      </w:pPr>
      <w:r>
        <w:t>6.2 Supporting shared control records</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300"/>
        <w:gridCol w:w="4250"/>
        <w:gridCol w:w="2810"/>
      </w:tblGrid>
      <w:tr>
        <w:trPr>
          <w:tblHeader w:val="true"/>
          <w:cantSplit w:val="true"/>
        </w:trPr>
        <w:tc>
          <w:tcPr>
            <w:tcW w:type="dxa" w:w="2300"/>
            <w:shd w:fill="E8EEF5"/>
            <w:tcMar>
              <w:top w:w="80" w:type="dxa"/>
              <w:start w:w="120" w:type="dxa"/>
              <w:bottom w:w="80" w:type="dxa"/>
              <w:end w:w="120" w:type="dxa"/>
            </w:tcMar>
            <w:vAlign w:val="center"/>
          </w:tcPr>
          <w:p>
            <w:r>
              <w:rPr>
                <w:b/>
                <w:color w:val="16324F"/>
                <w:sz w:val="18"/>
              </w:rPr>
              <w:t>Entity</w:t>
            </w:r>
          </w:p>
        </w:tc>
        <w:tc>
          <w:tcPr>
            <w:tcW w:type="dxa" w:w="4250"/>
            <w:shd w:fill="E8EEF5"/>
            <w:tcMar>
              <w:top w:w="80" w:type="dxa"/>
              <w:start w:w="120" w:type="dxa"/>
              <w:bottom w:w="80" w:type="dxa"/>
              <w:end w:w="120" w:type="dxa"/>
            </w:tcMar>
            <w:vAlign w:val="center"/>
          </w:tcPr>
          <w:p>
            <w:r>
              <w:rPr>
                <w:b/>
                <w:color w:val="16324F"/>
                <w:sz w:val="18"/>
              </w:rPr>
              <w:t>M02 contract</w:t>
            </w:r>
          </w:p>
        </w:tc>
        <w:tc>
          <w:tcPr>
            <w:tcW w:type="dxa" w:w="2810"/>
            <w:shd w:fill="E8EEF5"/>
            <w:tcMar>
              <w:top w:w="80" w:type="dxa"/>
              <w:start w:w="120" w:type="dxa"/>
              <w:bottom w:w="80" w:type="dxa"/>
              <w:end w:w="120" w:type="dxa"/>
            </w:tcMar>
            <w:vAlign w:val="center"/>
          </w:tcPr>
          <w:p>
            <w:r>
              <w:rPr>
                <w:b/>
                <w:color w:val="16324F"/>
                <w:sz w:val="18"/>
              </w:rPr>
              <w:t>Ownership boundary</w:t>
            </w:r>
          </w:p>
        </w:tc>
      </w:tr>
      <w:tr>
        <w:trPr>
          <w:cantSplit w:val="true"/>
        </w:trPr>
        <w:tc>
          <w:tcPr>
            <w:tcW w:type="dxa" w:w="2300"/>
            <w:tcMar>
              <w:top w:w="80" w:type="dxa"/>
              <w:start w:w="120" w:type="dxa"/>
              <w:bottom w:w="80" w:type="dxa"/>
              <w:end w:w="120" w:type="dxa"/>
            </w:tcMar>
            <w:vAlign w:val="center"/>
          </w:tcPr>
          <w:p>
            <w:pPr>
              <w:spacing w:after="40" w:line="252" w:lineRule="auto"/>
            </w:pPr>
            <w:r>
              <w:rPr>
                <w:color w:val="243746"/>
                <w:sz w:val="18"/>
              </w:rPr>
              <w:t>shared.ref_event_types</w:t>
            </w:r>
          </w:p>
        </w:tc>
        <w:tc>
          <w:tcPr>
            <w:tcW w:type="dxa" w:w="4250"/>
            <w:tcMar>
              <w:top w:w="80" w:type="dxa"/>
              <w:start w:w="120" w:type="dxa"/>
              <w:bottom w:w="80" w:type="dxa"/>
              <w:end w:w="120" w:type="dxa"/>
            </w:tcMar>
            <w:vAlign w:val="center"/>
          </w:tcPr>
          <w:p>
            <w:pPr>
              <w:spacing w:after="40" w:line="252" w:lineRule="auto"/>
            </w:pPr>
            <w:r>
              <w:rPr>
                <w:color w:val="243746"/>
                <w:sz w:val="18"/>
              </w:rPr>
              <w:t>Stable code, display label, active flag, contract version, permitted level/producer metadata</w:t>
            </w:r>
          </w:p>
        </w:tc>
        <w:tc>
          <w:tcPr>
            <w:tcW w:type="dxa" w:w="2810"/>
            <w:tcMar>
              <w:top w:w="80" w:type="dxa"/>
              <w:start w:w="120" w:type="dxa"/>
              <w:bottom w:w="80" w:type="dxa"/>
              <w:end w:w="120" w:type="dxa"/>
            </w:tcMar>
            <w:vAlign w:val="center"/>
          </w:tcPr>
          <w:p>
            <w:pPr>
              <w:spacing w:after="40" w:line="252" w:lineRule="auto"/>
            </w:pPr>
            <w:r>
              <w:rPr>
                <w:color w:val="243746"/>
                <w:sz w:val="18"/>
              </w:rPr>
              <w:t>Provisioning/migrations write; all modules read.</w:t>
            </w:r>
          </w:p>
        </w:tc>
      </w:tr>
      <w:tr>
        <w:trPr>
          <w:cantSplit w:val="true"/>
        </w:trPr>
        <w:tc>
          <w:tcPr>
            <w:tcW w:type="dxa" w:w="2300"/>
            <w:tcMar>
              <w:top w:w="80" w:type="dxa"/>
              <w:start w:w="120" w:type="dxa"/>
              <w:bottom w:w="80" w:type="dxa"/>
              <w:end w:w="120" w:type="dxa"/>
            </w:tcMar>
            <w:vAlign w:val="center"/>
          </w:tcPr>
          <w:p>
            <w:pPr>
              <w:spacing w:after="40" w:line="252" w:lineRule="auto"/>
            </w:pPr>
            <w:r>
              <w:rPr>
                <w:color w:val="243746"/>
                <w:sz w:val="18"/>
              </w:rPr>
              <w:t>shared.ref_event_statuses</w:t>
            </w:r>
          </w:p>
        </w:tc>
        <w:tc>
          <w:tcPr>
            <w:tcW w:type="dxa" w:w="4250"/>
            <w:tcMar>
              <w:top w:w="80" w:type="dxa"/>
              <w:start w:w="120" w:type="dxa"/>
              <w:bottom w:w="80" w:type="dxa"/>
              <w:end w:w="120" w:type="dxa"/>
            </w:tcMar>
            <w:vAlign w:val="center"/>
          </w:tcPr>
          <w:p>
            <w:pPr>
              <w:spacing w:after="40" w:line="252" w:lineRule="auto"/>
            </w:pPr>
            <w:r>
              <w:rPr>
                <w:color w:val="243746"/>
                <w:sz w:val="18"/>
              </w:rPr>
              <w:t>Stable code, display label, active flag, required status_scope, terminality and compatibility metadata</w:t>
            </w:r>
          </w:p>
        </w:tc>
        <w:tc>
          <w:tcPr>
            <w:tcW w:type="dxa" w:w="2810"/>
            <w:tcMar>
              <w:top w:w="80" w:type="dxa"/>
              <w:start w:w="120" w:type="dxa"/>
              <w:bottom w:w="80" w:type="dxa"/>
              <w:end w:w="120" w:type="dxa"/>
            </w:tcMar>
            <w:vAlign w:val="center"/>
          </w:tcPr>
          <w:p>
            <w:pPr>
              <w:spacing w:after="40" w:line="252" w:lineRule="auto"/>
            </w:pPr>
            <w:r>
              <w:rPr>
                <w:color w:val="243746"/>
                <w:sz w:val="18"/>
              </w:rPr>
              <w:t>Separate domain from queue, job-run, and recipient-operation statuses. Core seeds include conflict (stored_event, non-terminal) and both *_conflict_requires_reconciliation statuses (projection_only, non-terminal).</w:t>
            </w:r>
          </w:p>
        </w:tc>
      </w:tr>
      <w:tr>
        <w:trPr>
          <w:cantSplit w:val="true"/>
        </w:trPr>
        <w:tc>
          <w:tcPr>
            <w:tcW w:type="dxa" w:w="2300"/>
            <w:tcMar>
              <w:top w:w="80" w:type="dxa"/>
              <w:start w:w="120" w:type="dxa"/>
              <w:bottom w:w="80" w:type="dxa"/>
              <w:end w:w="120" w:type="dxa"/>
            </w:tcMar>
            <w:vAlign w:val="center"/>
          </w:tcPr>
          <w:p>
            <w:pPr>
              <w:spacing w:after="40" w:line="252" w:lineRule="auto"/>
            </w:pPr>
            <w:r>
              <w:rPr>
                <w:color w:val="243746"/>
                <w:sz w:val="18"/>
              </w:rPr>
              <w:t>shared.reconciliation_cases</w:t>
            </w:r>
          </w:p>
        </w:tc>
        <w:tc>
          <w:tcPr>
            <w:tcW w:type="dxa" w:w="4250"/>
            <w:tcMar>
              <w:top w:w="80" w:type="dxa"/>
              <w:start w:w="120" w:type="dxa"/>
              <w:bottom w:w="80" w:type="dxa"/>
              <w:end w:w="120" w:type="dxa"/>
            </w:tcMar>
            <w:vAlign w:val="center"/>
          </w:tcPr>
          <w:p>
            <w:pPr>
              <w:spacing w:after="40" w:line="252" w:lineRule="auto"/>
            </w:pPr>
            <w:r>
              <w:rPr>
                <w:color w:val="243746"/>
                <w:sz w:val="18"/>
              </w:rPr>
              <w:t>Mandatory tenant_id; operation_id; unique (tenant_id, operation_id); mutable scheduling/lease state; tenant-bound resolution_event_id and work_queue_id references</w:t>
            </w:r>
          </w:p>
        </w:tc>
        <w:tc>
          <w:tcPr>
            <w:tcW w:type="dxa" w:w="2810"/>
            <w:tcMar>
              <w:top w:w="80" w:type="dxa"/>
              <w:start w:w="120" w:type="dxa"/>
              <w:bottom w:w="80" w:type="dxa"/>
              <w:end w:w="120" w:type="dxa"/>
            </w:tcMar>
            <w:vAlign w:val="center"/>
          </w:tcPr>
          <w:p>
            <w:pPr>
              <w:spacing w:after="40" w:line="252" w:lineRule="auto"/>
            </w:pPr>
            <w:r>
              <w:rPr>
                <w:color w:val="243746"/>
                <w:sz w:val="18"/>
              </w:rPr>
              <w:t>M06 owns one case per tenant operation. Shared-to-tenant links are verified application references, never cross-schema foreign keys.</w:t>
            </w:r>
          </w:p>
        </w:tc>
      </w:tr>
      <w:tr>
        <w:trPr>
          <w:cantSplit w:val="true"/>
        </w:trPr>
        <w:tc>
          <w:tcPr>
            <w:tcW w:type="dxa" w:w="2300"/>
            <w:tcMar>
              <w:top w:w="80" w:type="dxa"/>
              <w:start w:w="120" w:type="dxa"/>
              <w:bottom w:w="80" w:type="dxa"/>
              <w:end w:w="120" w:type="dxa"/>
            </w:tcMar>
            <w:vAlign w:val="center"/>
          </w:tcPr>
          <w:p>
            <w:pPr>
              <w:spacing w:after="40" w:line="252" w:lineRule="auto"/>
            </w:pPr>
            <w:r>
              <w:rPr>
                <w:color w:val="243746"/>
                <w:sz w:val="18"/>
              </w:rPr>
              <w:t>shared.access_audit_log</w:t>
            </w:r>
          </w:p>
        </w:tc>
        <w:tc>
          <w:tcPr>
            <w:tcW w:type="dxa" w:w="4250"/>
            <w:tcMar>
              <w:top w:w="80" w:type="dxa"/>
              <w:start w:w="120" w:type="dxa"/>
              <w:bottom w:w="80" w:type="dxa"/>
              <w:end w:w="120" w:type="dxa"/>
            </w:tcMar>
            <w:vAlign w:val="center"/>
          </w:tcPr>
          <w:p>
            <w:pPr>
              <w:spacing w:after="40" w:line="252" w:lineRule="auto"/>
            </w:pPr>
            <w:r>
              <w:rPr>
                <w:color w:val="243746"/>
                <w:sz w:val="18"/>
              </w:rPr>
              <w:t>Audit of privileged correction, export, and disposition activity</w:t>
            </w:r>
          </w:p>
        </w:tc>
        <w:tc>
          <w:tcPr>
            <w:tcW w:type="dxa" w:w="2810"/>
            <w:tcMar>
              <w:top w:w="80" w:type="dxa"/>
              <w:start w:w="120" w:type="dxa"/>
              <w:bottom w:w="80" w:type="dxa"/>
              <w:end w:w="120" w:type="dxa"/>
            </w:tcMar>
            <w:vAlign w:val="center"/>
          </w:tcPr>
          <w:p>
            <w:pPr>
              <w:spacing w:after="40" w:line="252" w:lineRule="auto"/>
            </w:pPr>
            <w:r>
              <w:rPr>
                <w:color w:val="243746"/>
                <w:sz w:val="18"/>
              </w:rPr>
              <w:t>M01/M11 control; M02 emits structured action evidence only.</w:t>
            </w:r>
          </w:p>
        </w:tc>
      </w:tr>
    </w:tbl>
    <w:p>
      <w:pPr>
        <w:spacing w:after="40"/>
      </w:pPr>
    </w:p>
    <w:p>
      <w:pPr>
        <w:pStyle w:val="Heading2"/>
      </w:pPr>
      <w:r>
        <w:t>6.3 Required constraints and indexes</w:t>
      </w:r>
    </w:p>
    <w:p>
      <w:pPr>
        <w:pStyle w:val="ListBullet"/>
        <w:ind w:left="360" w:hanging="259"/>
      </w:pPr>
      <w:r>
        <w:t>Primary key on event_id; append table has no updated_at and runtime has no UPDATE or DELETE grant.</w:t>
      </w:r>
    </w:p>
    <w:p>
      <w:pPr>
        <w:pStyle w:val="ListBullet"/>
        <w:ind w:left="360" w:hanging="259"/>
      </w:pPr>
      <w:r>
        <w:t>Unique tenant-local append_sequence assigned by the database; index operation_id plus append_sequence for deterministic reconstruction. Pilot replay processes one declared bounded tenant/range and restarts that whole range after interruption; append_sequence is not a resumable incremental cursor. Index correlation_id for request tracing.</w:t>
      </w:r>
    </w:p>
    <w:p>
      <w:pPr>
        <w:pStyle w:val="ListBullet"/>
        <w:ind w:left="360" w:hanging="259"/>
      </w:pPr>
      <w:r>
        <w:t>Indexes support subject timelines and workflow links without requiring metadata JSON scans.</w:t>
      </w:r>
    </w:p>
    <w:p>
      <w:pPr>
        <w:pStyle w:val="ListBullet"/>
        <w:ind w:left="360" w:hanging="259"/>
      </w:pPr>
      <w:r>
        <w:t>Idempotency uniqueness is tenant- and producer-scoped and must not reject a distinct conflicting provider event.</w:t>
      </w:r>
    </w:p>
    <w:p>
      <w:pPr>
        <w:pStyle w:val="ListBullet"/>
        <w:ind w:left="360" w:hanging="259"/>
      </w:pPr>
      <w:r>
        <w:t>At most one canonical acceptance identity per operation_id is database enforced by a partial unique acceptance constraint or equivalent binding; a competing identity is retained as a separately typed conflict event.</w:t>
      </w:r>
    </w:p>
    <w:p>
      <w:pPr>
        <w:pStyle w:val="ListBullet"/>
        <w:ind w:left="360" w:hanging="259"/>
      </w:pPr>
      <w:r>
        <w:t>Correction references and causation references are tenant-local foreign keys or equivalently verified immutable references.</w:t>
      </w:r>
    </w:p>
    <w:p>
      <w:pPr>
        <w:pStyle w:val="ListBullet"/>
        <w:ind w:left="360" w:hanging="259"/>
      </w:pPr>
      <w:r>
        <w:t>Every shared control row derived from tenant evidence has mandatory tenant_id. Its event/work-item identifiers are verified against that tenant schema and are not declared as impossible shared-to-N-schema foreign keys.</w:t>
      </w:r>
    </w:p>
    <w:p>
      <w:pPr>
        <w:pStyle w:val="ListBullet"/>
        <w:ind w:left="360" w:hanging="259"/>
      </w:pPr>
      <w:r>
        <w:t>Reconciliation-case uniqueness is tenant_id plus operation_id, producing one case per tenant operation. M05 handoff dedupe keys include tenant_id plus operation_id plus handoff kind, allowing distinct conflict and failure work while producing at most one effective item of each kind after convergence.</w:t>
      </w:r>
    </w:p>
    <w:p>
      <w:pPr>
        <w:pStyle w:val="ListBullet"/>
        <w:ind w:left="360" w:hanging="259"/>
      </w:pPr>
      <w:r>
        <w:t>Reference-code validation is enforceable at write time and compatible with zero-downtime code/reference rollout.</w:t>
      </w:r>
    </w:p>
    <w:p>
      <w:pPr>
        <w:pStyle w:val="ListBullet"/>
        <w:ind w:left="360" w:hanging="259"/>
      </w:pPr>
      <w:r>
        <w:t>Metadata size and schema are validated before insert; oversized or invalid metadata fails closed with a sanitized error.</w:t>
      </w:r>
    </w:p>
    <w:p>
      <w:pPr>
        <w:pStyle w:val="Heading1"/>
      </w:pPr>
      <w:r>
        <w:t>7. Required interfaces and projection behavior</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3000"/>
        <w:gridCol w:w="6360"/>
      </w:tblGrid>
      <w:tr>
        <w:trPr>
          <w:tblHeader w:val="true"/>
          <w:cantSplit w:val="true"/>
        </w:trPr>
        <w:tc>
          <w:tcPr>
            <w:tcW w:type="dxa" w:w="3000"/>
            <w:shd w:fill="E8EEF5"/>
            <w:tcMar>
              <w:top w:w="80" w:type="dxa"/>
              <w:start w:w="120" w:type="dxa"/>
              <w:bottom w:w="80" w:type="dxa"/>
              <w:end w:w="120" w:type="dxa"/>
            </w:tcMar>
            <w:vAlign w:val="center"/>
          </w:tcPr>
          <w:p>
            <w:r>
              <w:rPr>
                <w:b/>
                <w:color w:val="16324F"/>
                <w:sz w:val="18"/>
              </w:rPr>
              <w:t>Interface</w:t>
            </w:r>
          </w:p>
        </w:tc>
        <w:tc>
          <w:tcPr>
            <w:tcW w:type="dxa" w:w="6360"/>
            <w:shd w:fill="E8EEF5"/>
            <w:tcMar>
              <w:top w:w="80" w:type="dxa"/>
              <w:start w:w="120" w:type="dxa"/>
              <w:bottom w:w="80" w:type="dxa"/>
              <w:end w:w="120" w:type="dxa"/>
            </w:tcMar>
            <w:vAlign w:val="center"/>
          </w:tcPr>
          <w:p>
            <w:r>
              <w:rPr>
                <w:b/>
                <w:color w:val="16324F"/>
                <w:sz w:val="18"/>
              </w:rPr>
              <w:t>Contract</w:t>
            </w:r>
          </w:p>
        </w:tc>
      </w:tr>
      <w:tr>
        <w:trPr>
          <w:cantSplit w:val="true"/>
        </w:trPr>
        <w:tc>
          <w:tcPr>
            <w:tcW w:type="dxa" w:w="3000"/>
            <w:tcMar>
              <w:top w:w="80" w:type="dxa"/>
              <w:start w:w="120" w:type="dxa"/>
              <w:bottom w:w="80" w:type="dxa"/>
              <w:end w:w="120" w:type="dxa"/>
            </w:tcMar>
            <w:vAlign w:val="center"/>
          </w:tcPr>
          <w:p>
            <w:pPr>
              <w:spacing w:after="40" w:line="252" w:lineRule="auto"/>
            </w:pPr>
            <w:r>
              <w:rPr>
                <w:color w:val="243746"/>
                <w:sz w:val="18"/>
              </w:rPr>
              <w:t>beginOperation(context, action, subject, links)</w:t>
            </w:r>
          </w:p>
        </w:tc>
        <w:tc>
          <w:tcPr>
            <w:tcW w:type="dxa" w:w="6360"/>
            <w:tcMar>
              <w:top w:w="80" w:type="dxa"/>
              <w:start w:w="120" w:type="dxa"/>
              <w:bottom w:w="80" w:type="dxa"/>
              <w:end w:w="120" w:type="dxa"/>
            </w:tcMar>
            <w:vAlign w:val="center"/>
          </w:tcPr>
          <w:p>
            <w:pPr>
              <w:spacing w:after="40" w:line="252" w:lineRule="auto"/>
            </w:pPr>
            <w:r>
              <w:rPr>
                <w:color w:val="243746"/>
                <w:sz w:val="18"/>
              </w:rPr>
              <w:t>Atomically persists one stable operation_id and requested event; returns the durable operation identity or prior idempotent result.</w:t>
            </w:r>
          </w:p>
        </w:tc>
      </w:tr>
      <w:tr>
        <w:trPr>
          <w:cantSplit w:val="true"/>
        </w:trPr>
        <w:tc>
          <w:tcPr>
            <w:tcW w:type="dxa" w:w="3000"/>
            <w:tcMar>
              <w:top w:w="80" w:type="dxa"/>
              <w:start w:w="120" w:type="dxa"/>
              <w:bottom w:w="80" w:type="dxa"/>
              <w:end w:w="120" w:type="dxa"/>
            </w:tcMar>
            <w:vAlign w:val="center"/>
          </w:tcPr>
          <w:p>
            <w:pPr>
              <w:spacing w:after="40" w:line="252" w:lineRule="auto"/>
            </w:pPr>
            <w:r>
              <w:rPr>
                <w:color w:val="243746"/>
                <w:sz w:val="18"/>
              </w:rPr>
              <w:t>recordSubmissionOutcome(context, operation_id, outcome)</w:t>
            </w:r>
          </w:p>
        </w:tc>
        <w:tc>
          <w:tcPr>
            <w:tcW w:type="dxa" w:w="6360"/>
            <w:tcMar>
              <w:top w:w="80" w:type="dxa"/>
              <w:start w:w="120" w:type="dxa"/>
              <w:bottom w:w="80" w:type="dxa"/>
              <w:end w:w="120" w:type="dxa"/>
            </w:tcMar>
            <w:vAlign w:val="center"/>
          </w:tcPr>
          <w:p>
            <w:pPr>
              <w:spacing w:after="40" w:line="252" w:lineRule="auto"/>
            </w:pPr>
            <w:r>
              <w:rPr>
                <w:color w:val="243746"/>
                <w:sz w:val="18"/>
              </w:rPr>
              <w:t>Validates ownership and legal transition; appends accepted, rejected, or submission_indeterminate idempotently.</w:t>
            </w:r>
          </w:p>
        </w:tc>
      </w:tr>
      <w:tr>
        <w:trPr>
          <w:cantSplit w:val="true"/>
        </w:trPr>
        <w:tc>
          <w:tcPr>
            <w:tcW w:type="dxa" w:w="3000"/>
            <w:tcMar>
              <w:top w:w="80" w:type="dxa"/>
              <w:start w:w="120" w:type="dxa"/>
              <w:bottom w:w="80" w:type="dxa"/>
              <w:end w:w="120" w:type="dxa"/>
            </w:tcMar>
            <w:vAlign w:val="center"/>
          </w:tcPr>
          <w:p>
            <w:pPr>
              <w:spacing w:after="40" w:line="252" w:lineRule="auto"/>
            </w:pPr>
            <w:r>
              <w:rPr>
                <w:color w:val="243746"/>
                <w:sz w:val="18"/>
              </w:rPr>
              <w:t>recordOutcome(context, operation_id, outcome)</w:t>
            </w:r>
          </w:p>
        </w:tc>
        <w:tc>
          <w:tcPr>
            <w:tcW w:type="dxa" w:w="6360"/>
            <w:tcMar>
              <w:top w:w="80" w:type="dxa"/>
              <w:start w:w="120" w:type="dxa"/>
              <w:bottom w:w="80" w:type="dxa"/>
              <w:end w:w="120" w:type="dxa"/>
            </w:tcMar>
            <w:vAlign w:val="center"/>
          </w:tcPr>
          <w:p>
            <w:pPr>
              <w:spacing w:after="40" w:line="252" w:lineRule="auto"/>
            </w:pPr>
            <w:r>
              <w:rPr>
                <w:color w:val="243746"/>
                <w:sz w:val="18"/>
              </w:rPr>
              <w:t>Appends verified delivery or business outcome with provider/domain provenance and source dedupe identity.</w:t>
            </w:r>
          </w:p>
        </w:tc>
      </w:tr>
      <w:tr>
        <w:trPr>
          <w:cantSplit w:val="true"/>
        </w:trPr>
        <w:tc>
          <w:tcPr>
            <w:tcW w:type="dxa" w:w="3000"/>
            <w:tcMar>
              <w:top w:w="80" w:type="dxa"/>
              <w:start w:w="120" w:type="dxa"/>
              <w:bottom w:w="80" w:type="dxa"/>
              <w:end w:w="120" w:type="dxa"/>
            </w:tcMar>
            <w:vAlign w:val="center"/>
          </w:tcPr>
          <w:p>
            <w:pPr>
              <w:spacing w:after="40" w:line="252" w:lineRule="auto"/>
            </w:pPr>
            <w:r>
              <w:rPr>
                <w:color w:val="243746"/>
                <w:sz w:val="18"/>
              </w:rPr>
              <w:t>recordObservation(context, observation)</w:t>
            </w:r>
          </w:p>
        </w:tc>
        <w:tc>
          <w:tcPr>
            <w:tcW w:type="dxa" w:w="6360"/>
            <w:tcMar>
              <w:top w:w="80" w:type="dxa"/>
              <w:start w:w="120" w:type="dxa"/>
              <w:bottom w:w="80" w:type="dxa"/>
              <w:end w:w="120" w:type="dxa"/>
            </w:tcMar>
            <w:vAlign w:val="center"/>
          </w:tcPr>
          <w:p>
            <w:pPr>
              <w:spacing w:after="40" w:line="252" w:lineRule="auto"/>
            </w:pPr>
            <w:r>
              <w:rPr>
                <w:color w:val="243746"/>
                <w:sz w:val="18"/>
              </w:rPr>
              <w:t>Appends one completed inbound/internal observation transactionally with its owning state change.</w:t>
            </w:r>
          </w:p>
        </w:tc>
      </w:tr>
      <w:tr>
        <w:trPr>
          <w:cantSplit w:val="true"/>
        </w:trPr>
        <w:tc>
          <w:tcPr>
            <w:tcW w:type="dxa" w:w="3000"/>
            <w:tcMar>
              <w:top w:w="80" w:type="dxa"/>
              <w:start w:w="120" w:type="dxa"/>
              <w:bottom w:w="80" w:type="dxa"/>
              <w:end w:w="120" w:type="dxa"/>
            </w:tcMar>
            <w:vAlign w:val="center"/>
          </w:tcPr>
          <w:p>
            <w:pPr>
              <w:spacing w:after="40" w:line="252" w:lineRule="auto"/>
            </w:pPr>
            <w:r>
              <w:rPr>
                <w:color w:val="243746"/>
                <w:sz w:val="18"/>
              </w:rPr>
              <w:t>appendCorrection(context, corrected_event_id, correction)</w:t>
            </w:r>
          </w:p>
        </w:tc>
        <w:tc>
          <w:tcPr>
            <w:tcW w:type="dxa" w:w="6360"/>
            <w:tcMar>
              <w:top w:w="80" w:type="dxa"/>
              <w:start w:w="120" w:type="dxa"/>
              <w:bottom w:w="80" w:type="dxa"/>
              <w:end w:w="120" w:type="dxa"/>
            </w:tcMar>
            <w:vAlign w:val="center"/>
          </w:tcPr>
          <w:p>
            <w:pPr>
              <w:spacing w:after="40" w:line="252" w:lineRule="auto"/>
            </w:pPr>
            <w:r>
              <w:rPr>
                <w:color w:val="243746"/>
                <w:sz w:val="18"/>
              </w:rPr>
              <w:t>Requires correction capability and reason; appends correction without changing the original.</w:t>
            </w:r>
          </w:p>
        </w:tc>
      </w:tr>
      <w:tr>
        <w:trPr>
          <w:cantSplit w:val="true"/>
        </w:trPr>
        <w:tc>
          <w:tcPr>
            <w:tcW w:type="dxa" w:w="3000"/>
            <w:tcMar>
              <w:top w:w="80" w:type="dxa"/>
              <w:start w:w="120" w:type="dxa"/>
              <w:bottom w:w="80" w:type="dxa"/>
              <w:end w:w="120" w:type="dxa"/>
            </w:tcMar>
            <w:vAlign w:val="center"/>
          </w:tcPr>
          <w:p>
            <w:pPr>
              <w:spacing w:after="40" w:line="252" w:lineRule="auto"/>
            </w:pPr>
            <w:r>
              <w:rPr>
                <w:color w:val="243746"/>
                <w:sz w:val="18"/>
              </w:rPr>
              <w:t>recordManualResolution(context, operation_id, resolution)</w:t>
            </w:r>
          </w:p>
        </w:tc>
        <w:tc>
          <w:tcPr>
            <w:tcW w:type="dxa" w:w="6360"/>
            <w:tcMar>
              <w:top w:w="80" w:type="dxa"/>
              <w:start w:w="120" w:type="dxa"/>
              <w:bottom w:w="80" w:type="dxa"/>
              <w:end w:w="120" w:type="dxa"/>
            </w:tcMar>
            <w:vAlign w:val="center"/>
          </w:tcPr>
          <w:p>
            <w:pPr>
              <w:spacing w:after="40" w:line="252" w:lineRule="auto"/>
            </w:pPr>
            <w:r>
              <w:rPr>
                <w:color w:val="243746"/>
                <w:sz w:val="18"/>
              </w:rPr>
              <w:t>Requires staff-resolution capability, controlled evidence source/reason, and actor attribution; appends resolution evidence. An authorized resend creates a new linked operation_id.</w:t>
            </w:r>
          </w:p>
        </w:tc>
      </w:tr>
      <w:tr>
        <w:trPr>
          <w:cantSplit w:val="true"/>
        </w:trPr>
        <w:tc>
          <w:tcPr>
            <w:tcW w:type="dxa" w:w="3000"/>
            <w:tcMar>
              <w:top w:w="80" w:type="dxa"/>
              <w:start w:w="120" w:type="dxa"/>
              <w:bottom w:w="80" w:type="dxa"/>
              <w:end w:w="120" w:type="dxa"/>
            </w:tcMar>
            <w:vAlign w:val="center"/>
          </w:tcPr>
          <w:p>
            <w:pPr>
              <w:spacing w:after="40" w:line="252" w:lineRule="auto"/>
            </w:pPr>
            <w:r>
              <w:rPr>
                <w:color w:val="243746"/>
                <w:sz w:val="18"/>
              </w:rPr>
              <w:t>getOperationProjection(context, operation_id)</w:t>
            </w:r>
          </w:p>
        </w:tc>
        <w:tc>
          <w:tcPr>
            <w:tcW w:type="dxa" w:w="6360"/>
            <w:tcMar>
              <w:top w:w="80" w:type="dxa"/>
              <w:start w:w="120" w:type="dxa"/>
              <w:bottom w:w="80" w:type="dxa"/>
              <w:end w:w="120" w:type="dxa"/>
            </w:tcMar>
            <w:vAlign w:val="center"/>
          </w:tcPr>
          <w:p>
            <w:pPr>
              <w:spacing w:after="40" w:line="252" w:lineRule="auto"/>
            </w:pPr>
            <w:r>
              <w:rPr>
                <w:color w:val="243746"/>
                <w:sz w:val="18"/>
              </w:rPr>
              <w:t>Returns deterministic current state, controlling event IDs, projection version, conflict/indeterminate flags, and explanation codes.</w:t>
            </w:r>
          </w:p>
        </w:tc>
      </w:tr>
      <w:tr>
        <w:trPr>
          <w:cantSplit w:val="true"/>
        </w:trPr>
        <w:tc>
          <w:tcPr>
            <w:tcW w:type="dxa" w:w="3000"/>
            <w:tcMar>
              <w:top w:w="80" w:type="dxa"/>
              <w:start w:w="120" w:type="dxa"/>
              <w:bottom w:w="80" w:type="dxa"/>
              <w:end w:w="120" w:type="dxa"/>
            </w:tcMar>
            <w:vAlign w:val="center"/>
          </w:tcPr>
          <w:p>
            <w:pPr>
              <w:spacing w:after="40" w:line="252" w:lineRule="auto"/>
            </w:pPr>
            <w:r>
              <w:rPr>
                <w:color w:val="243746"/>
                <w:sz w:val="18"/>
              </w:rPr>
              <w:t>listOperationProjections(context, selector, cursor)</w:t>
            </w:r>
          </w:p>
        </w:tc>
        <w:tc>
          <w:tcPr>
            <w:tcW w:type="dxa" w:w="6360"/>
            <w:tcMar>
              <w:top w:w="80" w:type="dxa"/>
              <w:start w:w="120" w:type="dxa"/>
              <w:bottom w:w="80" w:type="dxa"/>
              <w:end w:w="120" w:type="dxa"/>
            </w:tcMar>
            <w:vAlign w:val="center"/>
          </w:tcPr>
          <w:p>
            <w:pPr>
              <w:spacing w:after="40" w:line="252" w:lineRule="auto"/>
            </w:pPr>
            <w:r>
              <w:rPr>
                <w:color w:val="243746"/>
                <w:sz w:val="18"/>
              </w:rPr>
              <w:t>Returns a bounded, stably paginated set of projections for operation IDs, batch/run linkage, or an approved queue selector, with per-item version, freshness, explanation, and error data.</w:t>
            </w:r>
          </w:p>
        </w:tc>
      </w:tr>
      <w:tr>
        <w:trPr>
          <w:cantSplit w:val="true"/>
        </w:trPr>
        <w:tc>
          <w:tcPr>
            <w:tcW w:type="dxa" w:w="3000"/>
            <w:tcMar>
              <w:top w:w="80" w:type="dxa"/>
              <w:start w:w="120" w:type="dxa"/>
              <w:bottom w:w="80" w:type="dxa"/>
              <w:end w:w="120" w:type="dxa"/>
            </w:tcMar>
            <w:vAlign w:val="center"/>
          </w:tcPr>
          <w:p>
            <w:pPr>
              <w:spacing w:after="40" w:line="252" w:lineRule="auto"/>
            </w:pPr>
            <w:r>
              <w:rPr>
                <w:color w:val="243746"/>
                <w:sz w:val="18"/>
              </w:rPr>
              <w:t>listSubjectTimeline(context, subject, cursor)</w:t>
            </w:r>
          </w:p>
        </w:tc>
        <w:tc>
          <w:tcPr>
            <w:tcW w:type="dxa" w:w="6360"/>
            <w:tcMar>
              <w:top w:w="80" w:type="dxa"/>
              <w:start w:w="120" w:type="dxa"/>
              <w:bottom w:w="80" w:type="dxa"/>
              <w:end w:w="120" w:type="dxa"/>
            </w:tcMar>
            <w:vAlign w:val="center"/>
          </w:tcPr>
          <w:p>
            <w:pPr>
              <w:spacing w:after="40" w:line="252" w:lineRule="auto"/>
            </w:pPr>
            <w:r>
              <w:rPr>
                <w:color w:val="243746"/>
                <w:sz w:val="18"/>
              </w:rPr>
              <w:t>Returns authorized chronological facts with corrections and provenance; supports stable pagination and does not expose hidden PHI metadata by default.</w:t>
            </w:r>
          </w:p>
        </w:tc>
      </w:tr>
    </w:tbl>
    <w:p>
      <w:pPr>
        <w:spacing w:after="40"/>
      </w:pPr>
    </w:p>
    <w:p>
      <w:pPr>
        <w:pStyle w:val="Heading2"/>
      </w:pPr>
      <w:r>
        <w:t>7.1 External side-effect sequence</w:t>
      </w:r>
    </w:p>
    <w:p>
      <w:pPr>
        <w:pStyle w:val="ListNumber"/>
      </w:pPr>
      <w:r>
        <w:t>Resolve and validate M01 tenant context, action contract, subject, and business idempotency identity.</w:t>
      </w:r>
    </w:p>
    <w:p>
      <w:pPr>
        <w:pStyle w:val="ListNumber"/>
      </w:pPr>
      <w:r>
        <w:t>Create or recover the durable operation record and operation_id.</w:t>
      </w:r>
    </w:p>
    <w:p>
      <w:pPr>
        <w:pStyle w:val="ListNumber"/>
      </w:pPr>
      <w:r>
        <w:t>Append and commit {action}_requested inside the tenant transaction.</w:t>
      </w:r>
    </w:p>
    <w:p>
      <w:pPr>
        <w:pStyle w:val="ListNumber"/>
      </w:pPr>
      <w:r>
        <w:t>Call the provider with operation_id as idempotency key when supported and correlation_id as tracing context where safe.</w:t>
      </w:r>
    </w:p>
    <w:p>
      <w:pPr>
        <w:pStyle w:val="ListNumber"/>
      </w:pPr>
      <w:r>
        <w:t>Append accepted, rejected, or submission_indeterminate from the normalized adapter result.</w:t>
      </w:r>
    </w:p>
    <w:p>
      <w:pPr>
        <w:pStyle w:val="ListNumber"/>
      </w:pPr>
      <w:r>
        <w:t>Accept later verified delivery/business events through M03 callbacks or M06 lookup/reconciliation.</w:t>
      </w:r>
    </w:p>
    <w:p>
      <w:pPr>
        <w:pStyle w:val="ListNumber"/>
      </w:pPr>
      <w:r>
        <w:t>Project current state from all immutable facts. A wall-clock threshold never changes projection by itself; the stale-intent detector appends submission_indeterminate before the projection changes.</w:t>
      </w:r>
    </w:p>
    <w:p>
      <w:pPr>
        <w:pStyle w:val="ListNumber"/>
      </w:pPr>
      <w:r>
        <w:t>Deliver indeterminate, ordinary-failure, or conflict handoffs at least once using deterministic tenant-scoped keys; consumers converge to one effective control record without automatic resend.</w:t>
      </w:r>
    </w:p>
    <w:p>
      <w:pPr>
        <w:pStyle w:val="Heading2"/>
      </w:pPr>
      <w:r>
        <w:t>7.2 Projection precedence</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500"/>
        <w:gridCol w:w="3550"/>
        <w:gridCol w:w="3310"/>
      </w:tblGrid>
      <w:tr>
        <w:trPr>
          <w:tblHeader w:val="true"/>
          <w:cantSplit w:val="true"/>
        </w:trPr>
        <w:tc>
          <w:tcPr>
            <w:tcW w:type="dxa" w:w="2500"/>
            <w:shd w:fill="E8EEF5"/>
            <w:tcMar>
              <w:top w:w="80" w:type="dxa"/>
              <w:start w:w="120" w:type="dxa"/>
              <w:bottom w:w="80" w:type="dxa"/>
              <w:end w:w="120" w:type="dxa"/>
            </w:tcMar>
            <w:vAlign w:val="center"/>
          </w:tcPr>
          <w:p>
            <w:r>
              <w:rPr>
                <w:b/>
                <w:color w:val="16324F"/>
                <w:sz w:val="18"/>
              </w:rPr>
              <w:t>Condition</w:t>
            </w:r>
          </w:p>
        </w:tc>
        <w:tc>
          <w:tcPr>
            <w:tcW w:type="dxa" w:w="3550"/>
            <w:shd w:fill="E8EEF5"/>
            <w:tcMar>
              <w:top w:w="80" w:type="dxa"/>
              <w:start w:w="120" w:type="dxa"/>
              <w:bottom w:w="80" w:type="dxa"/>
              <w:end w:w="120" w:type="dxa"/>
            </w:tcMar>
            <w:vAlign w:val="center"/>
          </w:tcPr>
          <w:p>
            <w:r>
              <w:rPr>
                <w:b/>
                <w:color w:val="16324F"/>
                <w:sz w:val="18"/>
              </w:rPr>
              <w:t>Projection rule</w:t>
            </w:r>
          </w:p>
        </w:tc>
        <w:tc>
          <w:tcPr>
            <w:tcW w:type="dxa" w:w="3310"/>
            <w:shd w:fill="E8EEF5"/>
            <w:tcMar>
              <w:top w:w="80" w:type="dxa"/>
              <w:start w:w="120" w:type="dxa"/>
              <w:bottom w:w="80" w:type="dxa"/>
              <w:end w:w="120" w:type="dxa"/>
            </w:tcMar>
            <w:vAlign w:val="center"/>
          </w:tcPr>
          <w:p>
            <w:r>
              <w:rPr>
                <w:b/>
                <w:color w:val="16324F"/>
                <w:sz w:val="18"/>
              </w:rPr>
              <w:t>Required side effect</w:t>
            </w:r>
          </w:p>
        </w:tc>
      </w:tr>
      <w:tr>
        <w:trPr>
          <w:cantSplit w:val="true"/>
        </w:trPr>
        <w:tc>
          <w:tcPr>
            <w:tcW w:type="dxa" w:w="2500"/>
            <w:tcMar>
              <w:top w:w="80" w:type="dxa"/>
              <w:start w:w="120" w:type="dxa"/>
              <w:bottom w:w="80" w:type="dxa"/>
              <w:end w:w="120" w:type="dxa"/>
            </w:tcMar>
            <w:vAlign w:val="center"/>
          </w:tcPr>
          <w:p>
            <w:pPr>
              <w:spacing w:after="40" w:line="252" w:lineRule="auto"/>
            </w:pPr>
            <w:r>
              <w:rPr>
                <w:color w:val="243746"/>
                <w:sz w:val="18"/>
              </w:rPr>
              <w:t>Only intent</w:t>
            </w:r>
          </w:p>
        </w:tc>
        <w:tc>
          <w:tcPr>
            <w:tcW w:type="dxa" w:w="3550"/>
            <w:tcMar>
              <w:top w:w="80" w:type="dxa"/>
              <w:start w:w="120" w:type="dxa"/>
              <w:bottom w:w="80" w:type="dxa"/>
              <w:end w:w="120" w:type="dxa"/>
            </w:tcMar>
            <w:vAlign w:val="center"/>
          </w:tcPr>
          <w:p>
            <w:pPr>
              <w:spacing w:after="40" w:line="252" w:lineRule="auto"/>
            </w:pPr>
            <w:r>
              <w:rPr>
                <w:color w:val="243746"/>
                <w:sz w:val="18"/>
              </w:rPr>
              <w:t>requested/pending</w:t>
            </w:r>
          </w:p>
        </w:tc>
        <w:tc>
          <w:tcPr>
            <w:tcW w:type="dxa" w:w="3310"/>
            <w:tcMar>
              <w:top w:w="80" w:type="dxa"/>
              <w:start w:w="120" w:type="dxa"/>
              <w:bottom w:w="80" w:type="dxa"/>
              <w:end w:w="120" w:type="dxa"/>
            </w:tcMar>
            <w:vAlign w:val="center"/>
          </w:tcPr>
          <w:p>
            <w:pPr>
              <w:spacing w:after="40" w:line="252" w:lineRule="auto"/>
            </w:pPr>
            <w:r>
              <w:rPr>
                <w:color w:val="243746"/>
                <w:sz w:val="18"/>
              </w:rPr>
              <w:t>A scheduled stale-intent detector may append submission_indeterminate and deliver the tenant-bound M06 handoff; elapsed wall time alone never changes the projection.</w:t>
            </w:r>
          </w:p>
        </w:tc>
      </w:tr>
      <w:tr>
        <w:trPr>
          <w:cantSplit w:val="true"/>
        </w:trPr>
        <w:tc>
          <w:tcPr>
            <w:tcW w:type="dxa" w:w="2500"/>
            <w:tcMar>
              <w:top w:w="80" w:type="dxa"/>
              <w:start w:w="120" w:type="dxa"/>
              <w:bottom w:w="80" w:type="dxa"/>
              <w:end w:w="120" w:type="dxa"/>
            </w:tcMar>
            <w:vAlign w:val="center"/>
          </w:tcPr>
          <w:p>
            <w:pPr>
              <w:spacing w:after="40" w:line="252" w:lineRule="auto"/>
            </w:pPr>
            <w:r>
              <w:rPr>
                <w:color w:val="243746"/>
                <w:sz w:val="18"/>
              </w:rPr>
              <w:t>Submission rejected</w:t>
            </w:r>
          </w:p>
        </w:tc>
        <w:tc>
          <w:tcPr>
            <w:tcW w:type="dxa" w:w="3550"/>
            <w:tcMar>
              <w:top w:w="80" w:type="dxa"/>
              <w:start w:w="120" w:type="dxa"/>
              <w:bottom w:w="80" w:type="dxa"/>
              <w:end w:w="120" w:type="dxa"/>
            </w:tcMar>
            <w:vAlign w:val="center"/>
          </w:tcPr>
          <w:p>
            <w:pPr>
              <w:spacing w:after="40" w:line="252" w:lineRule="auto"/>
            </w:pPr>
            <w:r>
              <w:rPr>
                <w:color w:val="243746"/>
                <w:sz w:val="18"/>
              </w:rPr>
              <w:t>rejected terminal for submission</w:t>
            </w:r>
          </w:p>
        </w:tc>
        <w:tc>
          <w:tcPr>
            <w:tcW w:type="dxa" w:w="3310"/>
            <w:tcMar>
              <w:top w:w="80" w:type="dxa"/>
              <w:start w:w="120" w:type="dxa"/>
              <w:bottom w:w="80" w:type="dxa"/>
              <w:end w:w="120" w:type="dxa"/>
            </w:tcMar>
            <w:vAlign w:val="center"/>
          </w:tcPr>
          <w:p>
            <w:pPr>
              <w:spacing w:after="40" w:line="252" w:lineRule="auto"/>
            </w:pPr>
            <w:r>
              <w:rPr>
                <w:color w:val="243746"/>
                <w:sz w:val="18"/>
              </w:rPr>
              <w:t>No acceptance or delivery event is synthesized.</w:t>
            </w:r>
          </w:p>
        </w:tc>
      </w:tr>
      <w:tr>
        <w:trPr>
          <w:cantSplit w:val="true"/>
        </w:trPr>
        <w:tc>
          <w:tcPr>
            <w:tcW w:type="dxa" w:w="2500"/>
            <w:tcMar>
              <w:top w:w="80" w:type="dxa"/>
              <w:start w:w="120" w:type="dxa"/>
              <w:bottom w:w="80" w:type="dxa"/>
              <w:end w:w="120" w:type="dxa"/>
            </w:tcMar>
            <w:vAlign w:val="center"/>
          </w:tcPr>
          <w:p>
            <w:pPr>
              <w:spacing w:after="40" w:line="252" w:lineRule="auto"/>
            </w:pPr>
            <w:r>
              <w:rPr>
                <w:color w:val="243746"/>
                <w:sz w:val="18"/>
              </w:rPr>
              <w:t>Accepted; delivery absent</w:t>
            </w:r>
          </w:p>
        </w:tc>
        <w:tc>
          <w:tcPr>
            <w:tcW w:type="dxa" w:w="3550"/>
            <w:tcMar>
              <w:top w:w="80" w:type="dxa"/>
              <w:start w:w="120" w:type="dxa"/>
              <w:bottom w:w="80" w:type="dxa"/>
              <w:end w:w="120" w:type="dxa"/>
            </w:tcMar>
            <w:vAlign w:val="center"/>
          </w:tcPr>
          <w:p>
            <w:pPr>
              <w:spacing w:after="40" w:line="252" w:lineRule="auto"/>
            </w:pPr>
            <w:r>
              <w:rPr>
                <w:color w:val="243746"/>
                <w:sz w:val="18"/>
              </w:rPr>
              <w:t>accepted/delivery pending</w:t>
            </w:r>
          </w:p>
        </w:tc>
        <w:tc>
          <w:tcPr>
            <w:tcW w:type="dxa" w:w="3310"/>
            <w:tcMar>
              <w:top w:w="80" w:type="dxa"/>
              <w:start w:w="120" w:type="dxa"/>
              <w:bottom w:w="80" w:type="dxa"/>
              <w:end w:w="120" w:type="dxa"/>
            </w:tcMar>
            <w:vAlign w:val="center"/>
          </w:tcPr>
          <w:p>
            <w:pPr>
              <w:spacing w:after="40" w:line="252" w:lineRule="auto"/>
            </w:pPr>
            <w:r>
              <w:rPr>
                <w:color w:val="243746"/>
                <w:sz w:val="18"/>
              </w:rPr>
              <w:t>Await callback or approved provider lookup.</w:t>
            </w:r>
          </w:p>
        </w:tc>
      </w:tr>
      <w:tr>
        <w:trPr>
          <w:cantSplit w:val="true"/>
        </w:trPr>
        <w:tc>
          <w:tcPr>
            <w:tcW w:type="dxa" w:w="2500"/>
            <w:tcMar>
              <w:top w:w="80" w:type="dxa"/>
              <w:start w:w="120" w:type="dxa"/>
              <w:bottom w:w="80" w:type="dxa"/>
              <w:end w:w="120" w:type="dxa"/>
            </w:tcMar>
            <w:vAlign w:val="center"/>
          </w:tcPr>
          <w:p>
            <w:pPr>
              <w:spacing w:after="40" w:line="252" w:lineRule="auto"/>
            </w:pPr>
            <w:r>
              <w:rPr>
                <w:color w:val="243746"/>
                <w:sz w:val="18"/>
              </w:rPr>
              <w:t>Accepted plus delivery outcome</w:t>
            </w:r>
          </w:p>
        </w:tc>
        <w:tc>
          <w:tcPr>
            <w:tcW w:type="dxa" w:w="3550"/>
            <w:tcMar>
              <w:top w:w="80" w:type="dxa"/>
              <w:start w:w="120" w:type="dxa"/>
              <w:bottom w:w="80" w:type="dxa"/>
              <w:end w:w="120" w:type="dxa"/>
            </w:tcMar>
            <w:vAlign w:val="center"/>
          </w:tcPr>
          <w:p>
            <w:pPr>
              <w:spacing w:after="40" w:line="252" w:lineRule="auto"/>
            </w:pPr>
            <w:r>
              <w:rPr>
                <w:color w:val="243746"/>
                <w:sz w:val="18"/>
              </w:rPr>
              <w:t>verified delivered or delivery_failed</w:t>
            </w:r>
          </w:p>
        </w:tc>
        <w:tc>
          <w:tcPr>
            <w:tcW w:type="dxa" w:w="3310"/>
            <w:tcMar>
              <w:top w:w="80" w:type="dxa"/>
              <w:start w:w="120" w:type="dxa"/>
              <w:bottom w:w="80" w:type="dxa"/>
              <w:end w:w="120" w:type="dxa"/>
            </w:tcMar>
            <w:vAlign w:val="center"/>
          </w:tcPr>
          <w:p>
            <w:pPr>
              <w:spacing w:after="40" w:line="252" w:lineRule="auto"/>
            </w:pPr>
            <w:r>
              <w:rPr>
                <w:color w:val="243746"/>
                <w:sz w:val="18"/>
              </w:rPr>
              <w:t>Delivery controls over submission regardless of receipt order.</w:t>
            </w:r>
          </w:p>
        </w:tc>
      </w:tr>
      <w:tr>
        <w:trPr>
          <w:cantSplit w:val="true"/>
        </w:trPr>
        <w:tc>
          <w:tcPr>
            <w:tcW w:type="dxa" w:w="2500"/>
            <w:tcMar>
              <w:top w:w="80" w:type="dxa"/>
              <w:start w:w="120" w:type="dxa"/>
              <w:bottom w:w="80" w:type="dxa"/>
              <w:end w:w="120" w:type="dxa"/>
            </w:tcMar>
            <w:vAlign w:val="center"/>
          </w:tcPr>
          <w:p>
            <w:pPr>
              <w:spacing w:after="40" w:line="252" w:lineRule="auto"/>
            </w:pPr>
            <w:r>
              <w:rPr>
                <w:color w:val="243746"/>
                <w:sz w:val="18"/>
              </w:rPr>
              <w:t>Submission indeterminate</w:t>
            </w:r>
          </w:p>
        </w:tc>
        <w:tc>
          <w:tcPr>
            <w:tcW w:type="dxa" w:w="3550"/>
            <w:tcMar>
              <w:top w:w="80" w:type="dxa"/>
              <w:start w:w="120" w:type="dxa"/>
              <w:bottom w:w="80" w:type="dxa"/>
              <w:end w:w="120" w:type="dxa"/>
            </w:tcMar>
            <w:vAlign w:val="center"/>
          </w:tcPr>
          <w:p>
            <w:pPr>
              <w:spacing w:after="40" w:line="252" w:lineRule="auto"/>
            </w:pPr>
            <w:r>
              <w:rPr>
                <w:color w:val="243746"/>
                <w:sz w:val="18"/>
              </w:rPr>
              <w:t>indeterminate non-terminal</w:t>
            </w:r>
          </w:p>
        </w:tc>
        <w:tc>
          <w:tcPr>
            <w:tcW w:type="dxa" w:w="3310"/>
            <w:tcMar>
              <w:top w:w="80" w:type="dxa"/>
              <w:start w:w="120" w:type="dxa"/>
              <w:bottom w:w="80" w:type="dxa"/>
              <w:end w:w="120" w:type="dxa"/>
            </w:tcMar>
            <w:vAlign w:val="center"/>
          </w:tcPr>
          <w:p>
            <w:pPr>
              <w:spacing w:after="40" w:line="252" w:lineRule="auto"/>
            </w:pPr>
            <w:r>
              <w:rPr>
                <w:color w:val="243746"/>
                <w:sz w:val="18"/>
              </w:rPr>
              <w:t>M06 reconciliation; no automatic resend by M02.</w:t>
            </w:r>
          </w:p>
        </w:tc>
      </w:tr>
      <w:tr>
        <w:trPr>
          <w:cantSplit w:val="true"/>
        </w:trPr>
        <w:tc>
          <w:tcPr>
            <w:tcW w:type="dxa" w:w="2500"/>
            <w:tcMar>
              <w:top w:w="80" w:type="dxa"/>
              <w:start w:w="120" w:type="dxa"/>
              <w:bottom w:w="80" w:type="dxa"/>
              <w:end w:w="120" w:type="dxa"/>
            </w:tcMar>
            <w:vAlign w:val="center"/>
          </w:tcPr>
          <w:p>
            <w:pPr>
              <w:spacing w:after="40" w:line="252" w:lineRule="auto"/>
            </w:pPr>
            <w:r>
              <w:rPr>
                <w:color w:val="243746"/>
                <w:sz w:val="18"/>
              </w:rPr>
              <w:t>Competing acceptance identity</w:t>
            </w:r>
          </w:p>
        </w:tc>
        <w:tc>
          <w:tcPr>
            <w:tcW w:type="dxa" w:w="3550"/>
            <w:tcMar>
              <w:top w:w="80" w:type="dxa"/>
              <w:start w:w="120" w:type="dxa"/>
              <w:bottom w:w="80" w:type="dxa"/>
              <w:end w:w="120" w:type="dxa"/>
            </w:tcMar>
            <w:vAlign w:val="center"/>
          </w:tcPr>
          <w:p>
            <w:pPr>
              <w:spacing w:after="40" w:line="252" w:lineRule="auto"/>
            </w:pPr>
            <w:r>
              <w:rPr>
                <w:color w:val="243746"/>
                <w:sz w:val="18"/>
              </w:rPr>
              <w:t>acceptance_conflict_requires_reconciliation projection-only, non-terminal; canonical acceptance remains controlling</w:t>
            </w:r>
          </w:p>
        </w:tc>
        <w:tc>
          <w:tcPr>
            <w:tcW w:type="dxa" w:w="3310"/>
            <w:tcMar>
              <w:top w:w="80" w:type="dxa"/>
              <w:start w:w="120" w:type="dxa"/>
              <w:bottom w:w="80" w:type="dxa"/>
              <w:end w:w="120" w:type="dxa"/>
            </w:tcMar>
            <w:vAlign w:val="center"/>
          </w:tcPr>
          <w:p>
            <w:pPr>
              <w:spacing w:after="40" w:line="252" w:lineRule="auto"/>
            </w:pPr>
            <w:r>
              <w:rPr>
                <w:color w:val="243746"/>
                <w:sz w:val="18"/>
              </w:rPr>
              <w:t>Append {action}_acceptance_conflict with stored status conflict; deliver a crash-durable M05 handoff; retain both provider identities.</w:t>
            </w:r>
          </w:p>
        </w:tc>
      </w:tr>
      <w:tr>
        <w:trPr>
          <w:cantSplit w:val="true"/>
        </w:trPr>
        <w:tc>
          <w:tcPr>
            <w:tcW w:type="dxa" w:w="2500"/>
            <w:tcMar>
              <w:top w:w="80" w:type="dxa"/>
              <w:start w:w="120" w:type="dxa"/>
              <w:bottom w:w="80" w:type="dxa"/>
              <w:end w:w="120" w:type="dxa"/>
            </w:tcMar>
            <w:vAlign w:val="center"/>
          </w:tcPr>
          <w:p>
            <w:pPr>
              <w:spacing w:after="40" w:line="252" w:lineRule="auto"/>
            </w:pPr>
            <w:r>
              <w:rPr>
                <w:color w:val="243746"/>
                <w:sz w:val="18"/>
              </w:rPr>
              <w:t>Conflicting terminal outcomes</w:t>
            </w:r>
          </w:p>
        </w:tc>
        <w:tc>
          <w:tcPr>
            <w:tcW w:type="dxa" w:w="3550"/>
            <w:tcMar>
              <w:top w:w="80" w:type="dxa"/>
              <w:start w:w="120" w:type="dxa"/>
              <w:bottom w:w="80" w:type="dxa"/>
              <w:end w:w="120" w:type="dxa"/>
            </w:tcMar>
            <w:vAlign w:val="center"/>
          </w:tcPr>
          <w:p>
            <w:pPr>
              <w:spacing w:after="40" w:line="252" w:lineRule="auto"/>
            </w:pPr>
            <w:r>
              <w:rPr>
                <w:color w:val="243746"/>
                <w:sz w:val="18"/>
              </w:rPr>
              <w:t>delivery_conflict_requires_reconciliation projection-only, non-terminal; {action}_delivery_conflict event uses stored status conflict</w:t>
            </w:r>
          </w:p>
        </w:tc>
        <w:tc>
          <w:tcPr>
            <w:tcW w:type="dxa" w:w="3310"/>
            <w:tcMar>
              <w:top w:w="80" w:type="dxa"/>
              <w:start w:w="120" w:type="dxa"/>
              <w:bottom w:w="80" w:type="dxa"/>
              <w:end w:w="120" w:type="dxa"/>
            </w:tcMar>
            <w:vAlign w:val="center"/>
          </w:tcPr>
          <w:p>
            <w:pPr>
              <w:spacing w:after="40" w:line="252" w:lineRule="auto"/>
            </w:pPr>
            <w:r>
              <w:rPr>
                <w:color w:val="243746"/>
                <w:sz w:val="18"/>
              </w:rPr>
              <w:t>At-least-once crash-durable handoff converges to one effective M05 item; retain every source fact; resolve only through correction/manual resolution.</w:t>
            </w:r>
          </w:p>
        </w:tc>
      </w:tr>
      <w:tr>
        <w:trPr>
          <w:cantSplit w:val="true"/>
        </w:trPr>
        <w:tc>
          <w:tcPr>
            <w:tcW w:type="dxa" w:w="2500"/>
            <w:tcMar>
              <w:top w:w="80" w:type="dxa"/>
              <w:start w:w="120" w:type="dxa"/>
              <w:bottom w:w="80" w:type="dxa"/>
              <w:end w:w="120" w:type="dxa"/>
            </w:tcMar>
            <w:vAlign w:val="center"/>
          </w:tcPr>
          <w:p>
            <w:pPr>
              <w:spacing w:after="40" w:line="252" w:lineRule="auto"/>
            </w:pPr>
            <w:r>
              <w:rPr>
                <w:color w:val="243746"/>
                <w:sz w:val="18"/>
              </w:rPr>
              <w:t>Valid correction</w:t>
            </w:r>
          </w:p>
        </w:tc>
        <w:tc>
          <w:tcPr>
            <w:tcW w:type="dxa" w:w="3550"/>
            <w:tcMar>
              <w:top w:w="80" w:type="dxa"/>
              <w:start w:w="120" w:type="dxa"/>
              <w:bottom w:w="80" w:type="dxa"/>
              <w:end w:w="120" w:type="dxa"/>
            </w:tcMar>
            <w:vAlign w:val="center"/>
          </w:tcPr>
          <w:p>
            <w:pPr>
              <w:spacing w:after="40" w:line="252" w:lineRule="auto"/>
            </w:pPr>
            <w:r>
              <w:rPr>
                <w:color w:val="243746"/>
                <w:sz w:val="18"/>
              </w:rPr>
              <w:t>Apply versioned correction semantics</w:t>
            </w:r>
          </w:p>
        </w:tc>
        <w:tc>
          <w:tcPr>
            <w:tcW w:type="dxa" w:w="3310"/>
            <w:tcMar>
              <w:top w:w="80" w:type="dxa"/>
              <w:start w:w="120" w:type="dxa"/>
              <w:bottom w:w="80" w:type="dxa"/>
              <w:end w:w="120" w:type="dxa"/>
            </w:tcMar>
            <w:vAlign w:val="center"/>
          </w:tcPr>
          <w:p>
            <w:pPr>
              <w:spacing w:after="40" w:line="252" w:lineRule="auto"/>
            </w:pPr>
            <w:r>
              <w:rPr>
                <w:color w:val="243746"/>
                <w:sz w:val="18"/>
              </w:rPr>
              <w:t>Return original and correction in the timeline and controlling IDs in projection.</w:t>
            </w:r>
          </w:p>
        </w:tc>
      </w:tr>
      <w:tr>
        <w:trPr>
          <w:cantSplit w:val="true"/>
        </w:trPr>
        <w:tc>
          <w:tcPr>
            <w:tcW w:type="dxa" w:w="2500"/>
            <w:tcMar>
              <w:top w:w="80" w:type="dxa"/>
              <w:start w:w="120" w:type="dxa"/>
              <w:bottom w:w="80" w:type="dxa"/>
              <w:end w:w="120" w:type="dxa"/>
            </w:tcMar>
            <w:vAlign w:val="center"/>
          </w:tcPr>
          <w:p>
            <w:pPr>
              <w:spacing w:after="40" w:line="252" w:lineRule="auto"/>
            </w:pPr>
            <w:r>
              <w:rPr>
                <w:color w:val="243746"/>
                <w:sz w:val="18"/>
              </w:rPr>
              <w:t>Unknown event contract/status</w:t>
            </w:r>
          </w:p>
        </w:tc>
        <w:tc>
          <w:tcPr>
            <w:tcW w:type="dxa" w:w="3550"/>
            <w:tcMar>
              <w:top w:w="80" w:type="dxa"/>
              <w:start w:w="120" w:type="dxa"/>
              <w:bottom w:w="80" w:type="dxa"/>
              <w:end w:w="120" w:type="dxa"/>
            </w:tcMar>
            <w:vAlign w:val="center"/>
          </w:tcPr>
          <w:p>
            <w:pPr>
              <w:spacing w:after="40" w:line="252" w:lineRule="auto"/>
            </w:pPr>
            <w:r>
              <w:rPr>
                <w:color w:val="243746"/>
                <w:sz w:val="18"/>
              </w:rPr>
              <w:t>Projection incomplete/unsupported</w:t>
            </w:r>
          </w:p>
        </w:tc>
        <w:tc>
          <w:tcPr>
            <w:tcW w:type="dxa" w:w="3310"/>
            <w:tcMar>
              <w:top w:w="80" w:type="dxa"/>
              <w:start w:w="120" w:type="dxa"/>
              <w:bottom w:w="80" w:type="dxa"/>
              <w:end w:w="120" w:type="dxa"/>
            </w:tcMar>
            <w:vAlign w:val="center"/>
          </w:tcPr>
          <w:p>
            <w:pPr>
              <w:spacing w:after="40" w:line="252" w:lineRule="auto"/>
            </w:pPr>
            <w:r>
              <w:rPr>
                <w:color w:val="243746"/>
                <w:sz w:val="18"/>
              </w:rPr>
              <w:t>Fail safe, alert compatibility owner, and do not claim success.</w:t>
            </w:r>
          </w:p>
        </w:tc>
      </w:tr>
    </w:tbl>
    <w:p>
      <w:pPr>
        <w:spacing w:after="40"/>
      </w:pPr>
    </w:p>
    <w:p>
      <w:pPr>
        <w:pStyle w:val="Heading1"/>
      </w:pPr>
      <w:r>
        <w:t>8. Security and privacy requirements</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200"/>
        <w:gridCol w:w="7160"/>
      </w:tblGrid>
      <w:tr>
        <w:trPr>
          <w:tblHeader w:val="true"/>
          <w:cantSplit w:val="true"/>
        </w:trPr>
        <w:tc>
          <w:tcPr>
            <w:tcW w:type="dxa" w:w="2200"/>
            <w:shd w:fill="E8EEF5"/>
            <w:tcMar>
              <w:top w:w="80" w:type="dxa"/>
              <w:start w:w="120" w:type="dxa"/>
              <w:bottom w:w="80" w:type="dxa"/>
              <w:end w:w="120" w:type="dxa"/>
            </w:tcMar>
            <w:vAlign w:val="center"/>
          </w:tcPr>
          <w:p>
            <w:r>
              <w:rPr>
                <w:b/>
                <w:color w:val="16324F"/>
                <w:sz w:val="18"/>
              </w:rPr>
              <w:t>Control objective</w:t>
            </w:r>
          </w:p>
        </w:tc>
        <w:tc>
          <w:tcPr>
            <w:tcW w:type="dxa" w:w="7160"/>
            <w:shd w:fill="E8EEF5"/>
            <w:tcMar>
              <w:top w:w="80" w:type="dxa"/>
              <w:start w:w="120" w:type="dxa"/>
              <w:bottom w:w="80" w:type="dxa"/>
              <w:end w:w="120" w:type="dxa"/>
            </w:tcMar>
            <w:vAlign w:val="center"/>
          </w:tcPr>
          <w:p>
            <w:r>
              <w:rPr>
                <w:b/>
                <w:color w:val="16324F"/>
                <w:sz w:val="18"/>
              </w:rPr>
              <w:t>Requirement / evidence</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Tenant isolation</w:t>
            </w:r>
          </w:p>
        </w:tc>
        <w:tc>
          <w:tcPr>
            <w:tcW w:type="dxa" w:w="7160"/>
            <w:tcMar>
              <w:top w:w="80" w:type="dxa"/>
              <w:start w:w="120" w:type="dxa"/>
              <w:bottom w:w="80" w:type="dxa"/>
              <w:end w:w="120" w:type="dxa"/>
            </w:tcMar>
            <w:vAlign w:val="center"/>
          </w:tcPr>
          <w:p>
            <w:pPr>
              <w:spacing w:after="40" w:line="252" w:lineRule="auto"/>
            </w:pPr>
            <w:r>
              <w:rPr>
                <w:color w:val="243746"/>
                <w:sz w:val="18"/>
              </w:rPr>
              <w:t>Every repository call uses M01 tenant context and transaction routing; negative cross-tenant subject and correction tests are release gates.</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Least privilege</w:t>
            </w:r>
          </w:p>
        </w:tc>
        <w:tc>
          <w:tcPr>
            <w:tcW w:type="dxa" w:w="7160"/>
            <w:tcMar>
              <w:top w:w="80" w:type="dxa"/>
              <w:start w:w="120" w:type="dxa"/>
              <w:bottom w:w="80" w:type="dxa"/>
              <w:end w:w="120" w:type="dxa"/>
            </w:tcMar>
            <w:vAlign w:val="center"/>
          </w:tcPr>
          <w:p>
            <w:pPr>
              <w:spacing w:after="40" w:line="252" w:lineRule="auto"/>
            </w:pPr>
            <w:r>
              <w:rPr>
                <w:color w:val="243746"/>
                <w:sz w:val="18"/>
              </w:rPr>
              <w:t>Ordinary producers can insert approved event types and read approved projections; no runtime update/delete, reference administration, correction, export, or disposition privilege.</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Audit integrity</w:t>
            </w:r>
          </w:p>
        </w:tc>
        <w:tc>
          <w:tcPr>
            <w:tcW w:type="dxa" w:w="7160"/>
            <w:tcMar>
              <w:top w:w="80" w:type="dxa"/>
              <w:start w:w="120" w:type="dxa"/>
              <w:bottom w:w="80" w:type="dxa"/>
              <w:end w:w="120" w:type="dxa"/>
            </w:tcMar>
            <w:vAlign w:val="center"/>
          </w:tcPr>
          <w:p>
            <w:pPr>
              <w:spacing w:after="40" w:line="252" w:lineRule="auto"/>
            </w:pPr>
            <w:r>
              <w:rPr>
                <w:color w:val="243746"/>
                <w:sz w:val="18"/>
              </w:rPr>
              <w:t>Immutable source events, database-assigned created_at and append_sequence, provenance, restricted correction authority, privileged-change audit, and reconciliation links make later changes explainable.</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Minimum necessary</w:t>
            </w:r>
          </w:p>
        </w:tc>
        <w:tc>
          <w:tcPr>
            <w:tcW w:type="dxa" w:w="7160"/>
            <w:tcMar>
              <w:top w:w="80" w:type="dxa"/>
              <w:start w:w="120" w:type="dxa"/>
              <w:bottom w:w="80" w:type="dxa"/>
              <w:end w:w="120" w:type="dxa"/>
            </w:tcMar>
            <w:vAlign w:val="center"/>
          </w:tcPr>
          <w:p>
            <w:pPr>
              <w:spacing w:after="40" w:line="252" w:lineRule="auto"/>
            </w:pPr>
            <w:r>
              <w:rPr>
                <w:color w:val="243746"/>
                <w:sz w:val="18"/>
              </w:rPr>
              <w:t>Typed metadata schemas, bounded size, field allowlists, masked display, and no raw provider payloads or unrestricted error bodies.</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PHI-safe telemetry</w:t>
            </w:r>
          </w:p>
        </w:tc>
        <w:tc>
          <w:tcPr>
            <w:tcW w:type="dxa" w:w="7160"/>
            <w:tcMar>
              <w:top w:w="80" w:type="dxa"/>
              <w:start w:w="120" w:type="dxa"/>
              <w:bottom w:w="80" w:type="dxa"/>
              <w:end w:w="120" w:type="dxa"/>
            </w:tcMar>
            <w:vAlign w:val="center"/>
          </w:tcPr>
          <w:p>
            <w:pPr>
              <w:spacing w:after="40" w:line="252" w:lineRule="auto"/>
            </w:pPr>
            <w:r>
              <w:rPr>
                <w:color w:val="243746"/>
                <w:sz w:val="18"/>
              </w:rPr>
              <w:t>Central logs and metrics carry structural fields only; event payload and sanitized PHI-adjacent support detail remain in tenant Cloud SQL.</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Input integrity</w:t>
            </w:r>
          </w:p>
        </w:tc>
        <w:tc>
          <w:tcPr>
            <w:tcW w:type="dxa" w:w="7160"/>
            <w:tcMar>
              <w:top w:w="80" w:type="dxa"/>
              <w:start w:w="120" w:type="dxa"/>
              <w:bottom w:w="80" w:type="dxa"/>
              <w:end w:w="120" w:type="dxa"/>
            </w:tcMar>
            <w:vAlign w:val="center"/>
          </w:tcPr>
          <w:p>
            <w:pPr>
              <w:spacing w:after="40" w:line="252" w:lineRule="auto"/>
            </w:pPr>
            <w:r>
              <w:rPr>
                <w:color w:val="243746"/>
                <w:sz w:val="18"/>
              </w:rPr>
              <w:t>Event type/status, identifiers, timestamps, metadata, producer, and provider namespace are validated before insert; unknown codes fail safely.</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Privileged activity</w:t>
            </w:r>
          </w:p>
        </w:tc>
        <w:tc>
          <w:tcPr>
            <w:tcW w:type="dxa" w:w="7160"/>
            <w:tcMar>
              <w:top w:w="80" w:type="dxa"/>
              <w:start w:w="120" w:type="dxa"/>
              <w:bottom w:w="80" w:type="dxa"/>
              <w:end w:w="120" w:type="dxa"/>
            </w:tcMar>
            <w:vAlign w:val="center"/>
          </w:tcPr>
          <w:p>
            <w:pPr>
              <w:spacing w:after="40" w:line="252" w:lineRule="auto"/>
            </w:pPr>
            <w:r>
              <w:rPr>
                <w:color w:val="243746"/>
                <w:sz w:val="18"/>
              </w:rPr>
              <w:t>Correction, export, archival, destruction, and cross-tenant support access require explicit capability and append-only access audit evidence.</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Encryption and transport</w:t>
            </w:r>
          </w:p>
        </w:tc>
        <w:tc>
          <w:tcPr>
            <w:tcW w:type="dxa" w:w="7160"/>
            <w:tcMar>
              <w:top w:w="80" w:type="dxa"/>
              <w:start w:w="120" w:type="dxa"/>
              <w:bottom w:w="80" w:type="dxa"/>
              <w:end w:w="120" w:type="dxa"/>
            </w:tcMar>
            <w:vAlign w:val="center"/>
          </w:tcPr>
          <w:p>
            <w:pPr>
              <w:spacing w:after="40" w:line="252" w:lineRule="auto"/>
            </w:pPr>
            <w:r>
              <w:rPr>
                <w:color w:val="243746"/>
                <w:sz w:val="18"/>
              </w:rPr>
              <w:t>Cloud SQL and service connections use approved encryption, private connectivity, managed credentials, and TLS 1.2 or higher.</w:t>
            </w:r>
          </w:p>
        </w:tc>
      </w:tr>
    </w:tbl>
    <w:p>
      <w:pPr>
        <w:spacing w:after="40"/>
      </w:pPr>
    </w:p>
    <w:p>
      <w:pPr>
        <w:pStyle w:val="Heading1"/>
      </w:pPr>
      <w:r>
        <w:t>9. Reliability, performance, and observability</w:t>
      </w:r>
    </w:p>
    <w:p>
      <w:pPr>
        <w:spacing w:before="120" w:after="40"/>
      </w:pPr>
      <w:r>
        <w:rPr>
          <w:b/>
          <w:color w:val="2E74B5"/>
        </w:rPr>
        <w:t>M02-NFR-001 — Durability</w:t>
      </w:r>
      <w:r>
        <w:t xml:space="preserve"> </w:t>
      </w:r>
      <w:r>
        <w:t>A successful event append response shall mean the authoritative Cloud SQL transaction committed. Non-authoritative logging or signal delivery shall not redefine success.</w:t>
      </w:r>
    </w:p>
    <w:p>
      <w:pPr>
        <w:spacing w:before="120" w:after="40"/>
      </w:pPr>
      <w:r>
        <w:rPr>
          <w:b/>
          <w:color w:val="2E74B5"/>
        </w:rPr>
        <w:t>M02-NFR-002 — Availability</w:t>
      </w:r>
      <w:r>
        <w:t xml:space="preserve"> </w:t>
      </w:r>
      <w:r>
        <w:t>The append and projection services shall meet service objectives approved for their dependent clinical workflows. If durable evidence cannot be written, an external side effect shall fail closed before execution when intent is required.</w:t>
      </w:r>
    </w:p>
    <w:p>
      <w:pPr>
        <w:spacing w:before="120" w:after="40"/>
      </w:pPr>
      <w:r>
        <w:rPr>
          <w:b/>
          <w:color w:val="2E74B5"/>
        </w:rPr>
        <w:t>M02-NFR-003 — Concurrency</w:t>
      </w:r>
      <w:r>
        <w:t xml:space="preserve"> </w:t>
      </w:r>
      <w:r>
        <w:t>Idempotent append and projection behavior shall remain correct under concurrent duplicates, callbacks, corrections, retries, failover, and operation reconstruction without lost facts or deadlock regression.</w:t>
      </w:r>
    </w:p>
    <w:p>
      <w:pPr>
        <w:spacing w:before="120" w:after="40"/>
      </w:pPr>
      <w:r>
        <w:rPr>
          <w:b/>
          <w:color w:val="2E74B5"/>
        </w:rPr>
        <w:t>M02-NFR-004 — Projection performance</w:t>
      </w:r>
      <w:r>
        <w:t xml:space="preserve"> </w:t>
      </w:r>
      <w:r>
        <w:t>Operation and subject projections shall have measured latency and query-cost targets based on representative history depth and tenant load. Correctness and audit retention shall not be weakened to meet latency.</w:t>
      </w:r>
    </w:p>
    <w:p>
      <w:pPr>
        <w:spacing w:before="120" w:after="40"/>
      </w:pPr>
      <w:r>
        <w:rPr>
          <w:b/>
          <w:color w:val="2E74B5"/>
        </w:rPr>
        <w:t>M02-NFR-005 — Compatibility</w:t>
      </w:r>
      <w:r>
        <w:t xml:space="preserve"> </w:t>
      </w:r>
      <w:r>
        <w:t>Database, event-contract, and projection changes shall support rolling deployment and replay of historical events. A producer and consumer compatibility matrix shall gate release.</w:t>
      </w:r>
    </w:p>
    <w:p>
      <w:pPr>
        <w:spacing w:before="120" w:after="40"/>
      </w:pPr>
      <w:r>
        <w:rPr>
          <w:b/>
          <w:color w:val="2E74B5"/>
        </w:rPr>
        <w:t>M02-NFR-006 — Observability</w:t>
      </w:r>
      <w:r>
        <w:t xml:space="preserve"> </w:t>
      </w:r>
      <w:r>
        <w:t>PHI-safe metrics shall cover append success/failure, duplicate suppression, events per level/status, stale intents, indeterminate age, projection lag, conflicts, correction volume, unknown codes, and per-tenant resource pressure.</w:t>
      </w:r>
    </w:p>
    <w:p>
      <w:pPr>
        <w:spacing w:before="120" w:after="40"/>
      </w:pPr>
      <w:r>
        <w:rPr>
          <w:b/>
          <w:color w:val="2E74B5"/>
        </w:rPr>
        <w:t>M02-NFR-007 — Alerting</w:t>
      </w:r>
      <w:r>
        <w:t xml:space="preserve"> </w:t>
      </w:r>
      <w:r>
        <w:t>Alerts shall identify sustained append failures, projection incompatibility, growing stale-intent or indeterminate backlog, terminal conflicts, unknown provider mappings, correction abuse, and suspected cross-tenant reference attempts.</w:t>
      </w:r>
    </w:p>
    <w:p>
      <w:pPr>
        <w:spacing w:before="120" w:after="40"/>
      </w:pPr>
      <w:r>
        <w:rPr>
          <w:b/>
          <w:color w:val="2E74B5"/>
        </w:rPr>
        <w:t>M02-NFR-008 — Recovery and replay</w:t>
      </w:r>
      <w:r>
        <w:t xml:space="preserve"> </w:t>
      </w:r>
      <w:r>
        <w:t>At pilot volume, projection rebuild and event replay shall be deterministic, tenant-scoped, safe to repeat, and bounded to an explicitly declared tenant/range. An interrupted run shall restart the complete declared range. append_sequence may order a complete visible event set but shall not be used as a commit-order watermark or incremental resumption cursor. Replay shall not call external providers or duplicate downstream work items. Architecture shall review this full-range strategy when a tenant rebuild exceeds the OI-009 approved wall-clock objective or event-count bound.</w:t>
      </w:r>
    </w:p>
    <w:p>
      <w:pPr>
        <w:spacing w:after="100"/>
        <w:ind w:left="317"/>
      </w:pPr>
      <w:r>
        <w:rPr>
          <w:b/>
          <w:color w:val="16324F"/>
        </w:rPr>
        <w:t xml:space="preserve">Acceptance: </w:t>
      </w:r>
      <w:r>
        <w:t>A clean rebuild and an interrupted-then-restarted full-range rebuild from immutable events match the live result, include transactions that committed out of append_sequence allocation order, and produce no external side effect. Performance evidence records elapsed time and row count and raises the architecture review trigger when either approved bound is exceeded.</w:t>
      </w:r>
    </w:p>
    <w:p>
      <w:pPr>
        <w:spacing w:before="120" w:after="40"/>
      </w:pPr>
      <w:r>
        <w:rPr>
          <w:b/>
          <w:color w:val="2E74B5"/>
        </w:rPr>
        <w:t>M02-NFR-009 — Resource fairness</w:t>
      </w:r>
      <w:r>
        <w:t xml:space="preserve"> </w:t>
      </w:r>
      <w:r>
        <w:t>One tenant's event volume, long timeline, replay, or reconciliation evidence shall not cause unbounded degradation for others. Per-tenant limits, batching, pagination, and backpressure shall be based on production-like testing.</w:t>
      </w:r>
    </w:p>
    <w:p>
      <w:pPr>
        <w:spacing w:before="120" w:after="40"/>
      </w:pPr>
      <w:r>
        <w:rPr>
          <w:b/>
          <w:color w:val="2E74B5"/>
        </w:rPr>
        <w:t>M02-NFR-010 — Evidence integrity verification</w:t>
      </w:r>
      <w:r>
        <w:t xml:space="preserve"> </w:t>
      </w:r>
      <w:r>
        <w:t>Migration, break-glass, archival, and disposition identities capable of privileged event-table change shall be separately authorized and fully audited. Automated integrity checks shall detect unauthorized mutation, missing records relative to retained append evidence, and unexplained sequence anomalies. Sequence gaps alone shall not be treated as proof of tampering because rolled-back transactions may consume sequence values; any cryptographic hash-chain requirement remains a technical-design decision.</w:t>
      </w:r>
    </w:p>
    <w:p>
      <w:pPr>
        <w:spacing w:after="100"/>
        <w:ind w:left="317"/>
      </w:pPr>
      <w:r>
        <w:rPr>
          <w:b/>
          <w:color w:val="16324F"/>
        </w:rPr>
        <w:t xml:space="preserve">Acceptance: </w:t>
      </w:r>
      <w:r>
        <w:t>Privileged mutation simulations create attributable alerts/evidence, legitimate rollback gaps do not create false tamper findings, and ordinary runtime identities remain append-only.</w:t>
      </w:r>
    </w:p>
    <w:p>
      <w:pPr>
        <w:pStyle w:val="Heading1"/>
      </w:pPr>
      <w:r>
        <w:t>10. Failure behavior</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600"/>
        <w:gridCol w:w="6760"/>
      </w:tblGrid>
      <w:tr>
        <w:trPr>
          <w:tblHeader w:val="true"/>
          <w:cantSplit w:val="true"/>
        </w:trPr>
        <w:tc>
          <w:tcPr>
            <w:tcW w:type="dxa" w:w="2600"/>
            <w:shd w:fill="E8EEF5"/>
            <w:tcMar>
              <w:top w:w="80" w:type="dxa"/>
              <w:start w:w="120" w:type="dxa"/>
              <w:bottom w:w="80" w:type="dxa"/>
              <w:end w:w="120" w:type="dxa"/>
            </w:tcMar>
            <w:vAlign w:val="center"/>
          </w:tcPr>
          <w:p>
            <w:r>
              <w:rPr>
                <w:b/>
                <w:color w:val="16324F"/>
                <w:sz w:val="18"/>
              </w:rPr>
              <w:t>Failure</w:t>
            </w:r>
          </w:p>
        </w:tc>
        <w:tc>
          <w:tcPr>
            <w:tcW w:type="dxa" w:w="6760"/>
            <w:shd w:fill="E8EEF5"/>
            <w:tcMar>
              <w:top w:w="80" w:type="dxa"/>
              <w:start w:w="120" w:type="dxa"/>
              <w:bottom w:w="80" w:type="dxa"/>
              <w:end w:w="120" w:type="dxa"/>
            </w:tcMar>
            <w:vAlign w:val="center"/>
          </w:tcPr>
          <w:p>
            <w:r>
              <w:rPr>
                <w:b/>
                <w:color w:val="16324F"/>
                <w:sz w:val="18"/>
              </w:rPr>
              <w:t>Required behavior</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Intent insert fails</w:t>
            </w:r>
          </w:p>
        </w:tc>
        <w:tc>
          <w:tcPr>
            <w:tcW w:type="dxa" w:w="6760"/>
            <w:tcMar>
              <w:top w:w="80" w:type="dxa"/>
              <w:start w:w="120" w:type="dxa"/>
              <w:bottom w:w="80" w:type="dxa"/>
              <w:end w:w="120" w:type="dxa"/>
            </w:tcMar>
            <w:vAlign w:val="center"/>
          </w:tcPr>
          <w:p>
            <w:pPr>
              <w:spacing w:after="40" w:line="252" w:lineRule="auto"/>
            </w:pPr>
            <w:r>
              <w:rPr>
                <w:color w:val="243746"/>
                <w:sz w:val="18"/>
              </w:rPr>
              <w:t>Rollback; do not make the external call; emit sanitized failure signal and allow owning module to apply safe retry.</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Call times out or connection drops</w:t>
            </w:r>
          </w:p>
        </w:tc>
        <w:tc>
          <w:tcPr>
            <w:tcW w:type="dxa" w:w="6760"/>
            <w:tcMar>
              <w:top w:w="80" w:type="dxa"/>
              <w:start w:w="120" w:type="dxa"/>
              <w:bottom w:w="80" w:type="dxa"/>
              <w:end w:w="120" w:type="dxa"/>
            </w:tcMar>
            <w:vAlign w:val="center"/>
          </w:tcPr>
          <w:p>
            <w:pPr>
              <w:spacing w:after="40" w:line="252" w:lineRule="auto"/>
            </w:pPr>
            <w:r>
              <w:rPr>
                <w:color w:val="243746"/>
                <w:sz w:val="18"/>
              </w:rPr>
              <w:t>Append submission_indeterminate when possible; hand off to reconciliation; do not infer failure and do not automatically resend.</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Outcome append fails after provider acceptance</w:t>
            </w:r>
          </w:p>
        </w:tc>
        <w:tc>
          <w:tcPr>
            <w:tcW w:type="dxa" w:w="6760"/>
            <w:tcMar>
              <w:top w:w="80" w:type="dxa"/>
              <w:start w:w="120" w:type="dxa"/>
              <w:bottom w:w="80" w:type="dxa"/>
              <w:end w:w="120" w:type="dxa"/>
            </w:tcMar>
            <w:vAlign w:val="center"/>
          </w:tcPr>
          <w:p>
            <w:pPr>
              <w:spacing w:after="40" w:line="252" w:lineRule="auto"/>
            </w:pPr>
            <w:r>
              <w:rPr>
                <w:color w:val="243746"/>
                <w:sz w:val="18"/>
              </w:rPr>
              <w:t>Leave durable intent; recovery detects stale operation and queries provider through M06 adapter contract.</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Equivalent duplicate event</w:t>
            </w:r>
          </w:p>
        </w:tc>
        <w:tc>
          <w:tcPr>
            <w:tcW w:type="dxa" w:w="6760"/>
            <w:tcMar>
              <w:top w:w="80" w:type="dxa"/>
              <w:start w:w="120" w:type="dxa"/>
              <w:bottom w:w="80" w:type="dxa"/>
              <w:end w:w="120" w:type="dxa"/>
            </w:tcMar>
            <w:vAlign w:val="center"/>
          </w:tcPr>
          <w:p>
            <w:pPr>
              <w:spacing w:after="40" w:line="252" w:lineRule="auto"/>
            </w:pPr>
            <w:r>
              <w:rPr>
                <w:color w:val="243746"/>
                <w:sz w:val="18"/>
              </w:rPr>
              <w:t>Return prior committed event/result; do not append a second equivalent fact.</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Distinct conflicting terminal event</w:t>
            </w:r>
          </w:p>
        </w:tc>
        <w:tc>
          <w:tcPr>
            <w:tcW w:type="dxa" w:w="6760"/>
            <w:tcMar>
              <w:top w:w="80" w:type="dxa"/>
              <w:start w:w="120" w:type="dxa"/>
              <w:bottom w:w="80" w:type="dxa"/>
              <w:end w:w="120" w:type="dxa"/>
            </w:tcMar>
            <w:vAlign w:val="center"/>
          </w:tcPr>
          <w:p>
            <w:pPr>
              <w:spacing w:after="40" w:line="252" w:lineRule="auto"/>
            </w:pPr>
            <w:r>
              <w:rPr>
                <w:color w:val="243746"/>
                <w:sz w:val="18"/>
              </w:rPr>
              <w:t>Append it, project conflict, and deliver an at-least-once deterministic handoff that converges to one effective staff reconciliation item.</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Handoff fails after event commit</w:t>
            </w:r>
          </w:p>
        </w:tc>
        <w:tc>
          <w:tcPr>
            <w:tcW w:type="dxa" w:w="6760"/>
            <w:tcMar>
              <w:top w:w="80" w:type="dxa"/>
              <w:start w:w="120" w:type="dxa"/>
              <w:bottom w:w="80" w:type="dxa"/>
              <w:end w:w="120" w:type="dxa"/>
            </w:tcMar>
            <w:vAlign w:val="center"/>
          </w:tcPr>
          <w:p>
            <w:pPr>
              <w:spacing w:after="40" w:line="252" w:lineRule="auto"/>
            </w:pPr>
            <w:r>
              <w:rPr>
                <w:color w:val="243746"/>
                <w:sz w:val="18"/>
              </w:rPr>
              <w:t>Recover the trigger committed atomically with the source evidence or let the M06-owned scheduled detector re-derive it through the M02 evidence/query contract; retry at least once and let M06 or M05 dedupe the resulting case/work item by handoff type.</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Provider timestamp absent/untrusted</w:t>
            </w:r>
          </w:p>
        </w:tc>
        <w:tc>
          <w:tcPr>
            <w:tcW w:type="dxa" w:w="6760"/>
            <w:tcMar>
              <w:top w:w="80" w:type="dxa"/>
              <w:start w:w="120" w:type="dxa"/>
              <w:bottom w:w="80" w:type="dxa"/>
              <w:end w:w="120" w:type="dxa"/>
            </w:tcMar>
            <w:vAlign w:val="center"/>
          </w:tcPr>
          <w:p>
            <w:pPr>
              <w:spacing w:after="40" w:line="252" w:lineRule="auto"/>
            </w:pPr>
            <w:r>
              <w:rPr>
                <w:color w:val="243746"/>
                <w:sz w:val="18"/>
              </w:rPr>
              <w:t>Record time-quality limitation; do not use receipt time to break a terminal conflict; route unresolved precedence to reconciliation.</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Unknown type/status/provider mapping</w:t>
            </w:r>
          </w:p>
        </w:tc>
        <w:tc>
          <w:tcPr>
            <w:tcW w:type="dxa" w:w="6760"/>
            <w:tcMar>
              <w:top w:w="80" w:type="dxa"/>
              <w:start w:w="120" w:type="dxa"/>
              <w:bottom w:w="80" w:type="dxa"/>
              <w:end w:w="120" w:type="dxa"/>
            </w:tcMar>
            <w:vAlign w:val="center"/>
          </w:tcPr>
          <w:p>
            <w:pPr>
              <w:spacing w:after="40" w:line="252" w:lineRule="auto"/>
            </w:pPr>
            <w:r>
              <w:rPr>
                <w:color w:val="243746"/>
                <w:sz w:val="18"/>
              </w:rPr>
              <w:t>Reject or quarantine safely; do not project success; alert compatibility owner with structural details only.</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Correction unauthorized or cross-tenant</w:t>
            </w:r>
          </w:p>
        </w:tc>
        <w:tc>
          <w:tcPr>
            <w:tcW w:type="dxa" w:w="6760"/>
            <w:tcMar>
              <w:top w:w="80" w:type="dxa"/>
              <w:start w:w="120" w:type="dxa"/>
              <w:bottom w:w="80" w:type="dxa"/>
              <w:end w:w="120" w:type="dxa"/>
            </w:tcMar>
            <w:vAlign w:val="center"/>
          </w:tcPr>
          <w:p>
            <w:pPr>
              <w:spacing w:after="40" w:line="252" w:lineRule="auto"/>
            </w:pPr>
            <w:r>
              <w:rPr>
                <w:color w:val="243746"/>
                <w:sz w:val="18"/>
              </w:rPr>
              <w:t>Reject, emit security audit/alert, and leave source evidence unchanged.</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Projection store/cache unavailable</w:t>
            </w:r>
          </w:p>
        </w:tc>
        <w:tc>
          <w:tcPr>
            <w:tcW w:type="dxa" w:w="6760"/>
            <w:tcMar>
              <w:top w:w="80" w:type="dxa"/>
              <w:start w:w="120" w:type="dxa"/>
              <w:bottom w:w="80" w:type="dxa"/>
              <w:end w:w="120" w:type="dxa"/>
            </w:tcMar>
            <w:vAlign w:val="center"/>
          </w:tcPr>
          <w:p>
            <w:pPr>
              <w:spacing w:after="40" w:line="252" w:lineRule="auto"/>
            </w:pPr>
            <w:r>
              <w:rPr>
                <w:color w:val="243746"/>
                <w:sz w:val="18"/>
              </w:rPr>
              <w:t>Compute from authoritative events when approved or return explicit unavailable; never return stale state as current without a freshness indicator.</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Cloud Logging unavailable</w:t>
            </w:r>
          </w:p>
        </w:tc>
        <w:tc>
          <w:tcPr>
            <w:tcW w:type="dxa" w:w="6760"/>
            <w:tcMar>
              <w:top w:w="80" w:type="dxa"/>
              <w:start w:w="120" w:type="dxa"/>
              <w:bottom w:w="80" w:type="dxa"/>
              <w:end w:w="120" w:type="dxa"/>
            </w:tcMar>
            <w:vAlign w:val="center"/>
          </w:tcPr>
          <w:p>
            <w:pPr>
              <w:spacing w:after="40" w:line="252" w:lineRule="auto"/>
            </w:pPr>
            <w:r>
              <w:rPr>
                <w:color w:val="243746"/>
                <w:sz w:val="18"/>
              </w:rPr>
              <w:t>Keep committed DB event; record/surface signal-delivery failure without failing the already committed business transaction.</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Commit outcome uncertain</w:t>
            </w:r>
          </w:p>
        </w:tc>
        <w:tc>
          <w:tcPr>
            <w:tcW w:type="dxa" w:w="6760"/>
            <w:tcMar>
              <w:top w:w="80" w:type="dxa"/>
              <w:start w:w="120" w:type="dxa"/>
              <w:bottom w:w="80" w:type="dxa"/>
              <w:end w:w="120" w:type="dxa"/>
            </w:tcMar>
            <w:vAlign w:val="center"/>
          </w:tcPr>
          <w:p>
            <w:pPr>
              <w:spacing w:after="40" w:line="252" w:lineRule="auto"/>
            </w:pPr>
            <w:r>
              <w:rPr>
                <w:color w:val="243746"/>
                <w:sz w:val="18"/>
              </w:rPr>
              <w:t>Treat append result as indeterminate to the caller; resolve by event_id/dedupe-key lookup before retrying the logical append.</w:t>
            </w:r>
          </w:p>
        </w:tc>
      </w:tr>
    </w:tbl>
    <w:p>
      <w:pPr>
        <w:spacing w:after="40"/>
      </w:pPr>
    </w:p>
    <w:p>
      <w:pPr>
        <w:pStyle w:val="Heading1"/>
      </w:pPr>
      <w:r>
        <w:t>11. Test and acceptance plan</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1450"/>
        <w:gridCol w:w="5100"/>
        <w:gridCol w:w="2810"/>
      </w:tblGrid>
      <w:tr>
        <w:trPr>
          <w:tblHeader w:val="true"/>
          <w:cantSplit w:val="true"/>
        </w:trPr>
        <w:tc>
          <w:tcPr>
            <w:tcW w:type="dxa" w:w="1450"/>
            <w:shd w:fill="E8EEF5"/>
            <w:tcMar>
              <w:top w:w="80" w:type="dxa"/>
              <w:start w:w="120" w:type="dxa"/>
              <w:bottom w:w="80" w:type="dxa"/>
              <w:end w:w="120" w:type="dxa"/>
            </w:tcMar>
            <w:vAlign w:val="center"/>
          </w:tcPr>
          <w:p>
            <w:r>
              <w:rPr>
                <w:b/>
                <w:color w:val="16324F"/>
                <w:sz w:val="18"/>
              </w:rPr>
              <w:t>Test group</w:t>
            </w:r>
          </w:p>
        </w:tc>
        <w:tc>
          <w:tcPr>
            <w:tcW w:type="dxa" w:w="5100"/>
            <w:shd w:fill="E8EEF5"/>
            <w:tcMar>
              <w:top w:w="80" w:type="dxa"/>
              <w:start w:w="120" w:type="dxa"/>
              <w:bottom w:w="80" w:type="dxa"/>
              <w:end w:w="120" w:type="dxa"/>
            </w:tcMar>
            <w:vAlign w:val="center"/>
          </w:tcPr>
          <w:p>
            <w:r>
              <w:rPr>
                <w:b/>
                <w:color w:val="16324F"/>
                <w:sz w:val="18"/>
              </w:rPr>
              <w:t>Required coverage</w:t>
            </w:r>
          </w:p>
        </w:tc>
        <w:tc>
          <w:tcPr>
            <w:tcW w:type="dxa" w:w="2810"/>
            <w:shd w:fill="E8EEF5"/>
            <w:tcMar>
              <w:top w:w="80" w:type="dxa"/>
              <w:start w:w="120" w:type="dxa"/>
              <w:bottom w:w="80" w:type="dxa"/>
              <w:end w:w="120" w:type="dxa"/>
            </w:tcMar>
            <w:vAlign w:val="center"/>
          </w:tcPr>
          <w:p>
            <w:r>
              <w:rPr>
                <w:b/>
                <w:color w:val="16324F"/>
                <w:sz w:val="18"/>
              </w:rPr>
              <w:t>Exit evidence</w:t>
            </w:r>
          </w:p>
        </w:tc>
      </w:tr>
      <w:tr>
        <w:trPr>
          <w:cantSplit w:val="true"/>
        </w:trPr>
        <w:tc>
          <w:tcPr>
            <w:tcW w:type="dxa" w:w="1450"/>
            <w:tcMar>
              <w:top w:w="80" w:type="dxa"/>
              <w:start w:w="120" w:type="dxa"/>
              <w:bottom w:w="80" w:type="dxa"/>
              <w:end w:w="120" w:type="dxa"/>
            </w:tcMar>
            <w:vAlign w:val="center"/>
          </w:tcPr>
          <w:p>
            <w:pPr>
              <w:spacing w:after="40" w:line="252" w:lineRule="auto"/>
            </w:pPr>
            <w:r>
              <w:rPr>
                <w:color w:val="243746"/>
                <w:sz w:val="18"/>
              </w:rPr>
              <w:t>Unit</w:t>
            </w:r>
          </w:p>
        </w:tc>
        <w:tc>
          <w:tcPr>
            <w:tcW w:type="dxa" w:w="5100"/>
            <w:tcMar>
              <w:top w:w="80" w:type="dxa"/>
              <w:start w:w="120" w:type="dxa"/>
              <w:bottom w:w="80" w:type="dxa"/>
              <w:end w:w="120" w:type="dxa"/>
            </w:tcMar>
            <w:vAlign w:val="center"/>
          </w:tcPr>
          <w:p>
            <w:pPr>
              <w:spacing w:after="40" w:line="252" w:lineRule="auto"/>
            </w:pPr>
            <w:r>
              <w:rPr>
                <w:color w:val="243746"/>
                <w:sz w:val="18"/>
              </w:rPr>
              <w:t>Event-contract validation; stored/projection status scopes; acceptance and delivery conflict vocabulary; total-order projection; correction semantics; metadata allowlists.</w:t>
            </w:r>
          </w:p>
        </w:tc>
        <w:tc>
          <w:tcPr>
            <w:tcW w:type="dxa" w:w="2810"/>
            <w:tcMar>
              <w:top w:w="80" w:type="dxa"/>
              <w:start w:w="120" w:type="dxa"/>
              <w:bottom w:w="80" w:type="dxa"/>
              <w:end w:w="120" w:type="dxa"/>
            </w:tcMar>
            <w:vAlign w:val="center"/>
          </w:tcPr>
          <w:p>
            <w:pPr>
              <w:spacing w:after="40" w:line="252" w:lineRule="auto"/>
            </w:pPr>
            <w:r>
              <w:rPr>
                <w:color w:val="243746"/>
                <w:sz w:val="18"/>
              </w:rPr>
              <w:t>Passing deterministic fixtures with equal timestamps, conflict paths, status-scope negatives, and mutation-quality evidence.</w:t>
            </w:r>
          </w:p>
        </w:tc>
      </w:tr>
      <w:tr>
        <w:trPr>
          <w:cantSplit w:val="true"/>
        </w:trPr>
        <w:tc>
          <w:tcPr>
            <w:tcW w:type="dxa" w:w="1450"/>
            <w:tcMar>
              <w:top w:w="80" w:type="dxa"/>
              <w:start w:w="120" w:type="dxa"/>
              <w:bottom w:w="80" w:type="dxa"/>
              <w:end w:w="120" w:type="dxa"/>
            </w:tcMar>
            <w:vAlign w:val="center"/>
          </w:tcPr>
          <w:p>
            <w:pPr>
              <w:spacing w:after="40" w:line="252" w:lineRule="auto"/>
            </w:pPr>
            <w:r>
              <w:rPr>
                <w:color w:val="243746"/>
                <w:sz w:val="18"/>
              </w:rPr>
              <w:t>Database integration</w:t>
            </w:r>
          </w:p>
        </w:tc>
        <w:tc>
          <w:tcPr>
            <w:tcW w:type="dxa" w:w="5100"/>
            <w:tcMar>
              <w:top w:w="80" w:type="dxa"/>
              <w:start w:w="120" w:type="dxa"/>
              <w:bottom w:w="80" w:type="dxa"/>
              <w:end w:w="120" w:type="dxa"/>
            </w:tcMar>
            <w:vAlign w:val="center"/>
          </w:tcPr>
          <w:p>
            <w:pPr>
              <w:spacing w:after="40" w:line="252" w:lineRule="auto"/>
            </w:pPr>
            <w:r>
              <w:rPr>
                <w:color w:val="243746"/>
                <w:sz w:val="18"/>
              </w:rPr>
              <w:t>Append-only grants; append sequence; canonical acceptance uniqueness; one reconciliation case per tenant operation; verified shared references; idempotent insert; correction links; reference rollout; tenant transaction behavior.</w:t>
            </w:r>
          </w:p>
        </w:tc>
        <w:tc>
          <w:tcPr>
            <w:tcW w:type="dxa" w:w="2810"/>
            <w:tcMar>
              <w:top w:w="80" w:type="dxa"/>
              <w:start w:w="120" w:type="dxa"/>
              <w:bottom w:w="80" w:type="dxa"/>
              <w:end w:w="120" w:type="dxa"/>
            </w:tcMar>
            <w:vAlign w:val="center"/>
          </w:tcPr>
          <w:p>
            <w:pPr>
              <w:spacing w:after="40" w:line="252" w:lineRule="auto"/>
            </w:pPr>
            <w:r>
              <w:rPr>
                <w:color w:val="243746"/>
                <w:sz w:val="18"/>
              </w:rPr>
              <w:t>Production-like PostgreSQL results, classification inventory, and permissions manifest.</w:t>
            </w:r>
          </w:p>
        </w:tc>
      </w:tr>
      <w:tr>
        <w:trPr>
          <w:cantSplit w:val="true"/>
        </w:trPr>
        <w:tc>
          <w:tcPr>
            <w:tcW w:type="dxa" w:w="1450"/>
            <w:tcMar>
              <w:top w:w="80" w:type="dxa"/>
              <w:start w:w="120" w:type="dxa"/>
              <w:bottom w:w="80" w:type="dxa"/>
              <w:end w:w="120" w:type="dxa"/>
            </w:tcMar>
            <w:vAlign w:val="center"/>
          </w:tcPr>
          <w:p>
            <w:pPr>
              <w:spacing w:after="40" w:line="252" w:lineRule="auto"/>
            </w:pPr>
            <w:r>
              <w:rPr>
                <w:color w:val="243746"/>
                <w:sz w:val="18"/>
              </w:rPr>
              <w:t>Concurrency</w:t>
            </w:r>
          </w:p>
        </w:tc>
        <w:tc>
          <w:tcPr>
            <w:tcW w:type="dxa" w:w="5100"/>
            <w:tcMar>
              <w:top w:w="80" w:type="dxa"/>
              <w:start w:w="120" w:type="dxa"/>
              <w:bottom w:w="80" w:type="dxa"/>
              <w:end w:w="120" w:type="dxa"/>
            </w:tcMar>
            <w:vAlign w:val="center"/>
          </w:tcPr>
          <w:p>
            <w:pPr>
              <w:spacing w:after="40" w:line="252" w:lineRule="auto"/>
            </w:pPr>
            <w:r>
              <w:rPr>
                <w:color w:val="243746"/>
                <w:sz w:val="18"/>
              </w:rPr>
              <w:t>Simultaneous equivalent duplicates, distinct callbacks, corrections, commit ambiguity, and projection reads.</w:t>
            </w:r>
          </w:p>
        </w:tc>
        <w:tc>
          <w:tcPr>
            <w:tcW w:type="dxa" w:w="2810"/>
            <w:tcMar>
              <w:top w:w="80" w:type="dxa"/>
              <w:start w:w="120" w:type="dxa"/>
              <w:bottom w:w="80" w:type="dxa"/>
              <w:end w:w="120" w:type="dxa"/>
            </w:tcMar>
            <w:vAlign w:val="center"/>
          </w:tcPr>
          <w:p>
            <w:pPr>
              <w:spacing w:after="40" w:line="252" w:lineRule="auto"/>
            </w:pPr>
            <w:r>
              <w:rPr>
                <w:color w:val="243746"/>
                <w:sz w:val="18"/>
              </w:rPr>
              <w:t>No lost facts, duplicate equivalents, cross-tenant collision, or deadlock regression.</w:t>
            </w:r>
          </w:p>
        </w:tc>
      </w:tr>
      <w:tr>
        <w:trPr>
          <w:cantSplit w:val="true"/>
        </w:trPr>
        <w:tc>
          <w:tcPr>
            <w:tcW w:type="dxa" w:w="1450"/>
            <w:tcMar>
              <w:top w:w="80" w:type="dxa"/>
              <w:start w:w="120" w:type="dxa"/>
              <w:bottom w:w="80" w:type="dxa"/>
              <w:end w:w="120" w:type="dxa"/>
            </w:tcMar>
            <w:vAlign w:val="center"/>
          </w:tcPr>
          <w:p>
            <w:pPr>
              <w:spacing w:after="40" w:line="252" w:lineRule="auto"/>
            </w:pPr>
            <w:r>
              <w:rPr>
                <w:color w:val="243746"/>
                <w:sz w:val="18"/>
              </w:rPr>
              <w:t>Ordering/replay</w:t>
            </w:r>
          </w:p>
        </w:tc>
        <w:tc>
          <w:tcPr>
            <w:tcW w:type="dxa" w:w="5100"/>
            <w:tcMar>
              <w:top w:w="80" w:type="dxa"/>
              <w:start w:w="120" w:type="dxa"/>
              <w:bottom w:w="80" w:type="dxa"/>
              <w:end w:w="120" w:type="dxa"/>
            </w:tcMar>
            <w:vAlign w:val="center"/>
          </w:tcPr>
          <w:p>
            <w:pPr>
              <w:spacing w:after="40" w:line="252" w:lineRule="auto"/>
            </w:pPr>
            <w:r>
              <w:rPr>
                <w:color w:val="243746"/>
                <w:sz w:val="18"/>
              </w:rPr>
              <w:t>Callbacks shuffled by received_at; missing/untrusted occurred_at; terminal conflicts; out-of-order transaction commits; interrupted bounded full-range replay.</w:t>
            </w:r>
          </w:p>
        </w:tc>
        <w:tc>
          <w:tcPr>
            <w:tcW w:type="dxa" w:w="2810"/>
            <w:tcMar>
              <w:top w:w="80" w:type="dxa"/>
              <w:start w:w="120" w:type="dxa"/>
              <w:bottom w:w="80" w:type="dxa"/>
              <w:end w:w="120" w:type="dxa"/>
            </w:tcMar>
            <w:vAlign w:val="center"/>
          </w:tcPr>
          <w:p>
            <w:pPr>
              <w:spacing w:after="40" w:line="252" w:lineRule="auto"/>
            </w:pPr>
            <w:r>
              <w:rPr>
                <w:color w:val="243746"/>
                <w:sz w:val="18"/>
              </w:rPr>
              <w:t>Stable projection regardless of arrival/commit order; restart includes every committed row; explicit conflict when precedence is unknowable.</w:t>
            </w:r>
          </w:p>
        </w:tc>
      </w:tr>
      <w:tr>
        <w:trPr>
          <w:cantSplit w:val="true"/>
        </w:trPr>
        <w:tc>
          <w:tcPr>
            <w:tcW w:type="dxa" w:w="1450"/>
            <w:tcMar>
              <w:top w:w="80" w:type="dxa"/>
              <w:start w:w="120" w:type="dxa"/>
              <w:bottom w:w="80" w:type="dxa"/>
              <w:end w:w="120" w:type="dxa"/>
            </w:tcMar>
            <w:vAlign w:val="center"/>
          </w:tcPr>
          <w:p>
            <w:pPr>
              <w:spacing w:after="40" w:line="252" w:lineRule="auto"/>
            </w:pPr>
            <w:r>
              <w:rPr>
                <w:color w:val="243746"/>
                <w:sz w:val="18"/>
              </w:rPr>
              <w:t>Crash recovery</w:t>
            </w:r>
          </w:p>
        </w:tc>
        <w:tc>
          <w:tcPr>
            <w:tcW w:type="dxa" w:w="5100"/>
            <w:tcMar>
              <w:top w:w="80" w:type="dxa"/>
              <w:start w:w="120" w:type="dxa"/>
              <w:bottom w:w="80" w:type="dxa"/>
              <w:end w:w="120" w:type="dxa"/>
            </w:tcMar>
            <w:vAlign w:val="center"/>
          </w:tcPr>
          <w:p>
            <w:pPr>
              <w:spacing w:after="40" w:line="252" w:lineRule="auto"/>
            </w:pPr>
            <w:r>
              <w:rPr>
                <w:color w:val="243746"/>
                <w:sz w:val="18"/>
              </w:rPr>
              <w:t>Termination before call, after call, before outcome append, and between event commit and reconciliation/M05 handoff.</w:t>
            </w:r>
          </w:p>
        </w:tc>
        <w:tc>
          <w:tcPr>
            <w:tcW w:type="dxa" w:w="2810"/>
            <w:tcMar>
              <w:top w:w="80" w:type="dxa"/>
              <w:start w:w="120" w:type="dxa"/>
              <w:bottom w:w="80" w:type="dxa"/>
              <w:end w:w="120" w:type="dxa"/>
            </w:tcMar>
            <w:vAlign w:val="center"/>
          </w:tcPr>
          <w:p>
            <w:pPr>
              <w:spacing w:after="40" w:line="252" w:lineRule="auto"/>
            </w:pPr>
            <w:r>
              <w:rPr>
                <w:color w:val="243746"/>
                <w:sz w:val="18"/>
              </w:rPr>
              <w:t>No call without intent; stale operation detectable; every handoff trigger is recoverable or re-derivable; at-least-once retry converges to one effective control record; no automatic resend from M02.</w:t>
            </w:r>
          </w:p>
        </w:tc>
      </w:tr>
      <w:tr>
        <w:trPr>
          <w:cantSplit w:val="true"/>
        </w:trPr>
        <w:tc>
          <w:tcPr>
            <w:tcW w:type="dxa" w:w="1450"/>
            <w:tcMar>
              <w:top w:w="80" w:type="dxa"/>
              <w:start w:w="120" w:type="dxa"/>
              <w:bottom w:w="80" w:type="dxa"/>
              <w:end w:w="120" w:type="dxa"/>
            </w:tcMar>
            <w:vAlign w:val="center"/>
          </w:tcPr>
          <w:p>
            <w:pPr>
              <w:spacing w:after="40" w:line="252" w:lineRule="auto"/>
            </w:pPr>
            <w:r>
              <w:rPr>
                <w:color w:val="243746"/>
                <w:sz w:val="18"/>
              </w:rPr>
              <w:t>Security/privacy</w:t>
            </w:r>
          </w:p>
        </w:tc>
        <w:tc>
          <w:tcPr>
            <w:tcW w:type="dxa" w:w="5100"/>
            <w:tcMar>
              <w:top w:w="80" w:type="dxa"/>
              <w:start w:w="120" w:type="dxa"/>
              <w:bottom w:w="80" w:type="dxa"/>
              <w:end w:w="120" w:type="dxa"/>
            </w:tcMar>
            <w:vAlign w:val="center"/>
          </w:tcPr>
          <w:p>
            <w:pPr>
              <w:spacing w:after="40" w:line="252" w:lineRule="auto"/>
            </w:pPr>
            <w:r>
              <w:rPr>
                <w:color w:val="243746"/>
                <w:sz w:val="18"/>
              </w:rPr>
              <w:t>Forged tenant/subject links, metadata injection, unknown codes, correction abuse, export/disposition privilege, telemetry inspection.</w:t>
            </w:r>
          </w:p>
        </w:tc>
        <w:tc>
          <w:tcPr>
            <w:tcW w:type="dxa" w:w="2810"/>
            <w:tcMar>
              <w:top w:w="80" w:type="dxa"/>
              <w:start w:w="120" w:type="dxa"/>
              <w:bottom w:w="80" w:type="dxa"/>
              <w:end w:w="120" w:type="dxa"/>
            </w:tcMar>
            <w:vAlign w:val="center"/>
          </w:tcPr>
          <w:p>
            <w:pPr>
              <w:spacing w:after="40" w:line="252" w:lineRule="auto"/>
            </w:pPr>
            <w:r>
              <w:rPr>
                <w:color w:val="243746"/>
                <w:sz w:val="18"/>
              </w:rPr>
              <w:t>Security/privacy sign-off; zero open critical/high findings; no PHI in central logs.</w:t>
            </w:r>
          </w:p>
        </w:tc>
      </w:tr>
      <w:tr>
        <w:trPr>
          <w:cantSplit w:val="true"/>
        </w:trPr>
        <w:tc>
          <w:tcPr>
            <w:tcW w:type="dxa" w:w="1450"/>
            <w:tcMar>
              <w:top w:w="80" w:type="dxa"/>
              <w:start w:w="120" w:type="dxa"/>
              <w:bottom w:w="80" w:type="dxa"/>
              <w:end w:w="120" w:type="dxa"/>
            </w:tcMar>
            <w:vAlign w:val="center"/>
          </w:tcPr>
          <w:p>
            <w:pPr>
              <w:spacing w:after="40" w:line="252" w:lineRule="auto"/>
            </w:pPr>
            <w:r>
              <w:rPr>
                <w:color w:val="243746"/>
                <w:sz w:val="18"/>
              </w:rPr>
              <w:t>Performance/fairness</w:t>
            </w:r>
          </w:p>
        </w:tc>
        <w:tc>
          <w:tcPr>
            <w:tcW w:type="dxa" w:w="5100"/>
            <w:tcMar>
              <w:top w:w="80" w:type="dxa"/>
              <w:start w:w="120" w:type="dxa"/>
              <w:bottom w:w="80" w:type="dxa"/>
              <w:end w:w="120" w:type="dxa"/>
            </w:tcMar>
            <w:vAlign w:val="center"/>
          </w:tcPr>
          <w:p>
            <w:pPr>
              <w:spacing w:after="40" w:line="252" w:lineRule="auto"/>
            </w:pPr>
            <w:r>
              <w:rPr>
                <w:color w:val="243746"/>
                <w:sz w:val="18"/>
              </w:rPr>
              <w:t>High-volume append, deep timelines, projection rebuild, one noisy tenant, pagination and backpressure.</w:t>
            </w:r>
          </w:p>
        </w:tc>
        <w:tc>
          <w:tcPr>
            <w:tcW w:type="dxa" w:w="2810"/>
            <w:tcMar>
              <w:top w:w="80" w:type="dxa"/>
              <w:start w:w="120" w:type="dxa"/>
              <w:bottom w:w="80" w:type="dxa"/>
              <w:end w:w="120" w:type="dxa"/>
            </w:tcMar>
            <w:vAlign w:val="center"/>
          </w:tcPr>
          <w:p>
            <w:pPr>
              <w:spacing w:after="40" w:line="252" w:lineRule="auto"/>
            </w:pPr>
            <w:r>
              <w:rPr>
                <w:color w:val="243746"/>
                <w:sz w:val="18"/>
              </w:rPr>
              <w:t>Approved service targets met without peer-tenant starvation or correctness degradation.</w:t>
            </w:r>
          </w:p>
        </w:tc>
      </w:tr>
      <w:tr>
        <w:trPr>
          <w:cantSplit w:val="true"/>
        </w:trPr>
        <w:tc>
          <w:tcPr>
            <w:tcW w:type="dxa" w:w="1450"/>
            <w:tcMar>
              <w:top w:w="80" w:type="dxa"/>
              <w:start w:w="120" w:type="dxa"/>
              <w:bottom w:w="80" w:type="dxa"/>
              <w:end w:w="120" w:type="dxa"/>
            </w:tcMar>
            <w:vAlign w:val="center"/>
          </w:tcPr>
          <w:p>
            <w:pPr>
              <w:spacing w:after="40" w:line="252" w:lineRule="auto"/>
            </w:pPr>
            <w:r>
              <w:rPr>
                <w:color w:val="243746"/>
                <w:sz w:val="18"/>
              </w:rPr>
              <w:t>Contract integration</w:t>
            </w:r>
          </w:p>
        </w:tc>
        <w:tc>
          <w:tcPr>
            <w:tcW w:type="dxa" w:w="5100"/>
            <w:tcMar>
              <w:top w:w="80" w:type="dxa"/>
              <w:start w:w="120" w:type="dxa"/>
              <w:bottom w:w="80" w:type="dxa"/>
              <w:end w:w="120" w:type="dxa"/>
            </w:tcMar>
            <w:vAlign w:val="center"/>
          </w:tcPr>
          <w:p>
            <w:pPr>
              <w:spacing w:after="40" w:line="252" w:lineRule="auto"/>
            </w:pPr>
            <w:r>
              <w:rPr>
                <w:color w:val="243746"/>
                <w:sz w:val="18"/>
              </w:rPr>
              <w:t>Representative M03 callback/correlation boundary, M05 failure/conflict handoff, M06 outbound/reconciliation and bulk projection, M09 business outcome, and M11 signal consumer.</w:t>
            </w:r>
          </w:p>
        </w:tc>
        <w:tc>
          <w:tcPr>
            <w:tcW w:type="dxa" w:w="2810"/>
            <w:tcMar>
              <w:top w:w="80" w:type="dxa"/>
              <w:start w:w="120" w:type="dxa"/>
              <w:bottom w:w="80" w:type="dxa"/>
              <w:end w:w="120" w:type="dxa"/>
            </w:tcMar>
            <w:vAlign w:val="center"/>
          </w:tcPr>
          <w:p>
            <w:pPr>
              <w:spacing w:after="40" w:line="252" w:lineRule="auto"/>
            </w:pPr>
            <w:r>
              <w:rPr>
                <w:color w:val="243746"/>
                <w:sz w:val="18"/>
              </w:rPr>
              <w:t>Versioned contract tests pass across module boundaries.</w:t>
            </w:r>
          </w:p>
        </w:tc>
      </w:tr>
      <w:tr>
        <w:trPr>
          <w:cantSplit w:val="true"/>
        </w:trPr>
        <w:tc>
          <w:tcPr>
            <w:tcW w:type="dxa" w:w="1450"/>
            <w:tcMar>
              <w:top w:w="80" w:type="dxa"/>
              <w:start w:w="120" w:type="dxa"/>
              <w:bottom w:w="80" w:type="dxa"/>
              <w:end w:w="120" w:type="dxa"/>
            </w:tcMar>
            <w:vAlign w:val="center"/>
          </w:tcPr>
          <w:p>
            <w:pPr>
              <w:spacing w:after="40" w:line="252" w:lineRule="auto"/>
            </w:pPr>
            <w:r>
              <w:rPr>
                <w:color w:val="243746"/>
                <w:sz w:val="18"/>
              </w:rPr>
              <w:t>E2E</w:t>
            </w:r>
          </w:p>
        </w:tc>
        <w:tc>
          <w:tcPr>
            <w:tcW w:type="dxa" w:w="5100"/>
            <w:tcMar>
              <w:top w:w="80" w:type="dxa"/>
              <w:start w:w="120" w:type="dxa"/>
              <w:bottom w:w="80" w:type="dxa"/>
              <w:end w:w="120" w:type="dxa"/>
            </w:tcMar>
            <w:vAlign w:val="center"/>
          </w:tcPr>
          <w:p>
            <w:pPr>
              <w:spacing w:after="40" w:line="252" w:lineRule="auto"/>
            </w:pPr>
            <w:r>
              <w:rPr>
                <w:color w:val="243746"/>
                <w:sz w:val="18"/>
              </w:rPr>
              <w:t>At least two tenants through accepted, competing-acceptance, rejected, indeterminate, delivered, terminal-conflict, observation, and corrected flows.</w:t>
            </w:r>
          </w:p>
        </w:tc>
        <w:tc>
          <w:tcPr>
            <w:tcW w:type="dxa" w:w="2810"/>
            <w:tcMar>
              <w:top w:w="80" w:type="dxa"/>
              <w:start w:w="120" w:type="dxa"/>
              <w:bottom w:w="80" w:type="dxa"/>
              <w:end w:w="120" w:type="dxa"/>
            </w:tcMar>
            <w:vAlign w:val="center"/>
          </w:tcPr>
          <w:p>
            <w:pPr>
              <w:spacing w:after="40" w:line="252" w:lineRule="auto"/>
            </w:pPr>
            <w:r>
              <w:rPr>
                <w:color w:val="243746"/>
                <w:sz w:val="18"/>
              </w:rPr>
              <w:t>Recorded tenant-isolation assertions and accepted clinical/operational results.</w:t>
            </w:r>
          </w:p>
        </w:tc>
      </w:tr>
    </w:tbl>
    <w:p>
      <w:pPr>
        <w:spacing w:after="40"/>
      </w:pPr>
    </w:p>
    <w:p>
      <w:pPr>
        <w:pStyle w:val="Heading1"/>
      </w:pPr>
      <w:r>
        <w:t>12. Rollout and operational readiness</w:t>
      </w:r>
    </w:p>
    <w:p>
      <w:pPr>
        <w:pStyle w:val="ListBullet"/>
        <w:ind w:left="360" w:hanging="259"/>
      </w:pPr>
      <w:r>
        <w:t>Approve M02 requirements conditionally; draft ADR-011 from the approved requirement set and supersede the affected portions of ADR-003 and ADR-005 before schema design freeze. Apply the D4 acceptance stamps separately through Module 0.</w:t>
      </w:r>
    </w:p>
    <w:p>
      <w:pPr>
        <w:pStyle w:val="ListBullet"/>
        <w:ind w:left="360" w:hanging="259"/>
      </w:pPr>
      <w:r>
        <w:t>Publish the versioned event-contract registry, M02 core type/status seed data, module-extension ownership, producer/consumer compatibility matrix, shared-table inventory entry, and machine-readable data-classification manifest.</w:t>
      </w:r>
    </w:p>
    <w:p>
      <w:pPr>
        <w:pStyle w:val="ListBullet"/>
        <w:ind w:left="360" w:hanging="259"/>
      </w:pPr>
      <w:r>
        <w:t>Deploy append-only tables and indexes to synthetic tenants; validate M01 routing, grants, constraints, replay, and rollback/forward-fix procedures.</w:t>
      </w:r>
    </w:p>
    <w:p>
      <w:pPr>
        <w:pStyle w:val="ListBullet"/>
        <w:ind w:left="360" w:hanging="259"/>
      </w:pPr>
      <w:r>
        <w:t>Integrate one non-production external-operation path and one inbound-observation path; exercise crash points and duplicate delivery.</w:t>
      </w:r>
    </w:p>
    <w:p>
      <w:pPr>
        <w:pStyle w:val="ListBullet"/>
        <w:ind w:left="360" w:hanging="259"/>
      </w:pPr>
      <w:r>
        <w:t>Run shadow projections against recorded fixtures and compare every state/explanation before enabling consumers.</w:t>
      </w:r>
    </w:p>
    <w:p>
      <w:pPr>
        <w:pStyle w:val="ListBullet"/>
        <w:ind w:left="360" w:hanging="259"/>
      </w:pPr>
      <w:r>
        <w:t>Canary M03/M06 producers and M10/M11 consumers behind compatibility gates; monitor duplicate suppression, stale intents, lag, conflicts, and PHI-safe telemetry.</w:t>
      </w:r>
    </w:p>
    <w:p>
      <w:pPr>
        <w:pStyle w:val="ListBullet"/>
        <w:ind w:left="360" w:hanging="259"/>
      </w:pPr>
      <w:r>
        <w:t>Enable production writes for a limited pilot only after provider capability fallbacks, retention, correction authority, and incident runbooks are approved.</w:t>
      </w:r>
    </w:p>
    <w:p>
      <w:pPr>
        <w:pStyle w:val="ListBullet"/>
        <w:ind w:left="360" w:hanging="259"/>
      </w:pPr>
      <w:r>
        <w:t>Exercise projection rebuild, reconciliation handoff, conflict review, correction, export/disposition, and rollback procedures before general availability.</w:t>
      </w:r>
    </w:p>
    <w:p>
      <w:pPr>
        <w:pStyle w:val="Heading2"/>
      </w:pPr>
      <w:r>
        <w:t>12.1 Rollback</w:t>
      </w:r>
    </w:p>
    <w:p>
      <w:r>
        <w:t>Rollback shall stop incompatible producers and consumers, preserve all appended events, revert to the last compatible contract and projection version, quarantine unknown event types, and rebuild derived state if required. An event schema migration that cannot be safely reversed requires a forward-fix and dual-read compatibility window; rollback shall never delete events written by the newer version.</w:t>
      </w:r>
    </w:p>
    <w:p>
      <w:pPr>
        <w:pStyle w:val="Heading1"/>
      </w:pPr>
      <w:r>
        <w:t>13. Architecture decisions and open items</w:t>
      </w:r>
    </w:p>
    <w:p>
      <w:r>
        <w:rPr>
          <w:b/>
          <w:color w:val="16324F"/>
        </w:rPr>
        <w:t xml:space="preserve">Current decision basis. </w:t>
      </w:r>
      <w:r>
        <w:t>Decision D4 records ADRs v4 as Accepted on 2 August 2026, while the canonical file still carries stale Proposed labels. ADR-003 defines the stable three-level external-operation model; ADR-005 defines indeterminate state, reconciliation handoff, and append-only projection; ADR-007 establishes direct reuse of operation_id as provider idempotency key. M02 does not reopen acceptance: it requires a superseding ADR for material deltas.</w:t>
      </w:r>
    </w:p>
    <w:p>
      <w:r>
        <w:rPr>
          <w:b/>
          <w:color w:val="16324F"/>
        </w:rPr>
        <w:t xml:space="preserve">Required ADR-011 scope. </w:t>
      </w:r>
      <w:r>
        <w:t>Enumerate removal of the redundant idempotency_key column; submission_level→event_level naming; addition and limited semantics of append_sequence; canonical acceptance binding with retained acceptance-conflict evidence; tenant-bound verified references replacing unenforceable shared-to-tenant foreign keys; mandatory tenant_id and one-case-per-tenant-operation reconciliation cardinality; the clarified unknown-versus-conflict vocabulary and projection-only status scope; and the pilot bounded full-range replay rule.</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1150"/>
        <w:gridCol w:w="4510"/>
        <w:gridCol w:w="2000"/>
        <w:gridCol w:w="1700"/>
      </w:tblGrid>
      <w:tr>
        <w:trPr>
          <w:tblHeader w:val="true"/>
          <w:cantSplit w:val="true"/>
        </w:trPr>
        <w:tc>
          <w:tcPr>
            <w:tcW w:type="dxa" w:w="1150"/>
            <w:shd w:fill="E8EEF5"/>
            <w:tcMar>
              <w:top w:w="80" w:type="dxa"/>
              <w:start w:w="120" w:type="dxa"/>
              <w:bottom w:w="80" w:type="dxa"/>
              <w:end w:w="120" w:type="dxa"/>
            </w:tcMar>
            <w:vAlign w:val="center"/>
          </w:tcPr>
          <w:p>
            <w:r>
              <w:rPr>
                <w:b/>
                <w:color w:val="16324F"/>
                <w:sz w:val="18"/>
              </w:rPr>
              <w:t>ID</w:t>
            </w:r>
          </w:p>
        </w:tc>
        <w:tc>
          <w:tcPr>
            <w:tcW w:type="dxa" w:w="4510"/>
            <w:shd w:fill="E8EEF5"/>
            <w:tcMar>
              <w:top w:w="80" w:type="dxa"/>
              <w:start w:w="120" w:type="dxa"/>
              <w:bottom w:w="80" w:type="dxa"/>
              <w:end w:w="120" w:type="dxa"/>
            </w:tcMar>
            <w:vAlign w:val="center"/>
          </w:tcPr>
          <w:p>
            <w:r>
              <w:rPr>
                <w:b/>
                <w:color w:val="16324F"/>
                <w:sz w:val="18"/>
              </w:rPr>
              <w:t>Open decision / confirmation</w:t>
            </w:r>
          </w:p>
        </w:tc>
        <w:tc>
          <w:tcPr>
            <w:tcW w:type="dxa" w:w="2000"/>
            <w:shd w:fill="E8EEF5"/>
            <w:tcMar>
              <w:top w:w="80" w:type="dxa"/>
              <w:start w:w="120" w:type="dxa"/>
              <w:bottom w:w="80" w:type="dxa"/>
              <w:end w:w="120" w:type="dxa"/>
            </w:tcMar>
            <w:vAlign w:val="center"/>
          </w:tcPr>
          <w:p>
            <w:r>
              <w:rPr>
                <w:b/>
                <w:color w:val="16324F"/>
                <w:sz w:val="18"/>
              </w:rPr>
              <w:t>Owner</w:t>
            </w:r>
          </w:p>
        </w:tc>
        <w:tc>
          <w:tcPr>
            <w:tcW w:type="dxa" w:w="1700"/>
            <w:shd w:fill="E8EEF5"/>
            <w:tcMar>
              <w:top w:w="80" w:type="dxa"/>
              <w:start w:w="120" w:type="dxa"/>
              <w:bottom w:w="80" w:type="dxa"/>
              <w:end w:w="120" w:type="dxa"/>
            </w:tcMar>
            <w:vAlign w:val="center"/>
          </w:tcPr>
          <w:p>
            <w:r>
              <w:rPr>
                <w:b/>
                <w:color w:val="16324F"/>
                <w:sz w:val="18"/>
              </w:rPr>
              <w:t>Required by</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M02-OI-001</w:t>
            </w:r>
          </w:p>
        </w:tc>
        <w:tc>
          <w:tcPr>
            <w:tcW w:type="dxa" w:w="4510"/>
            <w:tcMar>
              <w:top w:w="80" w:type="dxa"/>
              <w:start w:w="120" w:type="dxa"/>
              <w:bottom w:w="80" w:type="dxa"/>
              <w:end w:w="120" w:type="dxa"/>
            </w:tcMar>
            <w:vAlign w:val="center"/>
          </w:tcPr>
          <w:p>
            <w:pPr>
              <w:spacing w:after="40" w:line="252" w:lineRule="auto"/>
            </w:pPr>
            <w:r>
              <w:rPr>
                <w:color w:val="243746"/>
                <w:sz w:val="18"/>
              </w:rPr>
              <w:t>Draft ADR-011 superseding the affected portions of accepted ADR-003 and ADR-005, covering the enumerated deltas above. Separately apply D4 acceptance stamps to the canonical ADR record through Module 0.</w:t>
            </w:r>
          </w:p>
        </w:tc>
        <w:tc>
          <w:tcPr>
            <w:tcW w:type="dxa" w:w="2000"/>
            <w:tcMar>
              <w:top w:w="80" w:type="dxa"/>
              <w:start w:w="120" w:type="dxa"/>
              <w:bottom w:w="80" w:type="dxa"/>
              <w:end w:w="120" w:type="dxa"/>
            </w:tcMar>
            <w:vAlign w:val="center"/>
          </w:tcPr>
          <w:p>
            <w:pPr>
              <w:spacing w:after="40" w:line="252" w:lineRule="auto"/>
            </w:pPr>
            <w:r>
              <w:rPr>
                <w:color w:val="243746"/>
                <w:sz w:val="18"/>
              </w:rPr>
              <w:t>Architecture + Engineering</w:t>
            </w:r>
          </w:p>
        </w:tc>
        <w:tc>
          <w:tcPr>
            <w:tcW w:type="dxa" w:w="1700"/>
            <w:tcMar>
              <w:top w:w="80" w:type="dxa"/>
              <w:start w:w="120" w:type="dxa"/>
              <w:bottom w:w="80" w:type="dxa"/>
              <w:end w:w="120" w:type="dxa"/>
            </w:tcMar>
            <w:vAlign w:val="center"/>
          </w:tcPr>
          <w:p>
            <w:pPr>
              <w:spacing w:after="40" w:line="252" w:lineRule="auto"/>
            </w:pPr>
            <w:r>
              <w:rPr>
                <w:color w:val="243746"/>
                <w:sz w:val="18"/>
              </w:rPr>
              <w:t>Before schema design freeze; requirements approval may be conditional</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M02-OI-002</w:t>
            </w:r>
          </w:p>
        </w:tc>
        <w:tc>
          <w:tcPr>
            <w:tcW w:type="dxa" w:w="4510"/>
            <w:tcMar>
              <w:top w:w="80" w:type="dxa"/>
              <w:start w:w="120" w:type="dxa"/>
              <w:bottom w:w="80" w:type="dxa"/>
              <w:end w:w="120" w:type="dxa"/>
            </w:tcMar>
            <w:vAlign w:val="center"/>
          </w:tcPr>
          <w:p>
            <w:pPr>
              <w:spacing w:after="40" w:line="252" w:lineRule="auto"/>
            </w:pPr>
            <w:r>
              <w:rPr>
                <w:color w:val="243746"/>
                <w:sz w:val="18"/>
              </w:rPr>
              <w:t>Freeze the physical event-level model, including observation, business-outcome, and correction representation.</w:t>
            </w:r>
          </w:p>
        </w:tc>
        <w:tc>
          <w:tcPr>
            <w:tcW w:type="dxa" w:w="2000"/>
            <w:tcMar>
              <w:top w:w="80" w:type="dxa"/>
              <w:start w:w="120" w:type="dxa"/>
              <w:bottom w:w="80" w:type="dxa"/>
              <w:end w:w="120" w:type="dxa"/>
            </w:tcMar>
            <w:vAlign w:val="center"/>
          </w:tcPr>
          <w:p>
            <w:pPr>
              <w:spacing w:after="40" w:line="252" w:lineRule="auto"/>
            </w:pPr>
            <w:r>
              <w:rPr>
                <w:color w:val="243746"/>
                <w:sz w:val="18"/>
              </w:rPr>
              <w:t>Data Architecture + Engineering</w:t>
            </w:r>
          </w:p>
        </w:tc>
        <w:tc>
          <w:tcPr>
            <w:tcW w:type="dxa" w:w="1700"/>
            <w:tcMar>
              <w:top w:w="80" w:type="dxa"/>
              <w:start w:w="120" w:type="dxa"/>
              <w:bottom w:w="80" w:type="dxa"/>
              <w:end w:w="120" w:type="dxa"/>
            </w:tcMar>
            <w:vAlign w:val="center"/>
          </w:tcPr>
          <w:p>
            <w:pPr>
              <w:spacing w:after="40" w:line="252" w:lineRule="auto"/>
            </w:pPr>
            <w:r>
              <w:rPr>
                <w:color w:val="243746"/>
                <w:sz w:val="18"/>
              </w:rPr>
              <w:t>Before schema design freeze</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M02-OI-003</w:t>
            </w:r>
          </w:p>
        </w:tc>
        <w:tc>
          <w:tcPr>
            <w:tcW w:type="dxa" w:w="4510"/>
            <w:tcMar>
              <w:top w:w="80" w:type="dxa"/>
              <w:start w:w="120" w:type="dxa"/>
              <w:bottom w:w="80" w:type="dxa"/>
              <w:end w:w="120" w:type="dxa"/>
            </w:tcMar>
            <w:vAlign w:val="center"/>
          </w:tcPr>
          <w:p>
            <w:pPr>
              <w:spacing w:after="40" w:line="252" w:lineRule="auto"/>
            </w:pPr>
            <w:r>
              <w:rPr>
                <w:color w:val="243746"/>
                <w:sz w:val="18"/>
              </w:rPr>
              <w:t>Select the exact producer deduplication key/constraints that suppress equivalent retries while retaining distinct conflicts.</w:t>
            </w:r>
          </w:p>
        </w:tc>
        <w:tc>
          <w:tcPr>
            <w:tcW w:type="dxa" w:w="2000"/>
            <w:tcMar>
              <w:top w:w="80" w:type="dxa"/>
              <w:start w:w="120" w:type="dxa"/>
              <w:bottom w:w="80" w:type="dxa"/>
              <w:end w:w="120" w:type="dxa"/>
            </w:tcMar>
            <w:vAlign w:val="center"/>
          </w:tcPr>
          <w:p>
            <w:pPr>
              <w:spacing w:after="40" w:line="252" w:lineRule="auto"/>
            </w:pPr>
            <w:r>
              <w:rPr>
                <w:color w:val="243746"/>
                <w:sz w:val="18"/>
              </w:rPr>
              <w:t>Platform + Data Architecture</w:t>
            </w:r>
          </w:p>
        </w:tc>
        <w:tc>
          <w:tcPr>
            <w:tcW w:type="dxa" w:w="1700"/>
            <w:tcMar>
              <w:top w:w="80" w:type="dxa"/>
              <w:start w:w="120" w:type="dxa"/>
              <w:bottom w:w="80" w:type="dxa"/>
              <w:end w:w="120" w:type="dxa"/>
            </w:tcMar>
            <w:vAlign w:val="center"/>
          </w:tcPr>
          <w:p>
            <w:pPr>
              <w:spacing w:after="40" w:line="252" w:lineRule="auto"/>
            </w:pPr>
            <w:r>
              <w:rPr>
                <w:color w:val="243746"/>
                <w:sz w:val="18"/>
              </w:rPr>
              <w:t>Before append API freeze</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M02-OI-004</w:t>
            </w:r>
          </w:p>
        </w:tc>
        <w:tc>
          <w:tcPr>
            <w:tcW w:type="dxa" w:w="4510"/>
            <w:tcMar>
              <w:top w:w="80" w:type="dxa"/>
              <w:start w:w="120" w:type="dxa"/>
              <w:bottom w:w="80" w:type="dxa"/>
              <w:end w:w="120" w:type="dxa"/>
            </w:tcMar>
            <w:vAlign w:val="center"/>
          </w:tcPr>
          <w:p>
            <w:pPr>
              <w:spacing w:after="40" w:line="252" w:lineRule="auto"/>
            </w:pPr>
            <w:r>
              <w:rPr>
                <w:color w:val="243746"/>
                <w:sz w:val="18"/>
              </w:rPr>
              <w:t>Choose on-demand, materialized, or hybrid projection storage and define bulk-query indexing, freshness, and projection-version migration behavior.</w:t>
            </w:r>
          </w:p>
        </w:tc>
        <w:tc>
          <w:tcPr>
            <w:tcW w:type="dxa" w:w="2000"/>
            <w:tcMar>
              <w:top w:w="80" w:type="dxa"/>
              <w:start w:w="120" w:type="dxa"/>
              <w:bottom w:w="80" w:type="dxa"/>
              <w:end w:w="120" w:type="dxa"/>
            </w:tcMar>
            <w:vAlign w:val="center"/>
          </w:tcPr>
          <w:p>
            <w:pPr>
              <w:spacing w:after="40" w:line="252" w:lineRule="auto"/>
            </w:pPr>
            <w:r>
              <w:rPr>
                <w:color w:val="243746"/>
                <w:sz w:val="18"/>
              </w:rPr>
              <w:t>Architecture + Platform</w:t>
            </w:r>
          </w:p>
        </w:tc>
        <w:tc>
          <w:tcPr>
            <w:tcW w:type="dxa" w:w="1700"/>
            <w:tcMar>
              <w:top w:w="80" w:type="dxa"/>
              <w:start w:w="120" w:type="dxa"/>
              <w:bottom w:w="80" w:type="dxa"/>
              <w:end w:w="120" w:type="dxa"/>
            </w:tcMar>
            <w:vAlign w:val="center"/>
          </w:tcPr>
          <w:p>
            <w:pPr>
              <w:spacing w:after="40" w:line="252" w:lineRule="auto"/>
            </w:pPr>
            <w:r>
              <w:rPr>
                <w:color w:val="243746"/>
                <w:sz w:val="18"/>
              </w:rPr>
              <w:t>Before technical design approval</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M02-OI-005</w:t>
            </w:r>
          </w:p>
        </w:tc>
        <w:tc>
          <w:tcPr>
            <w:tcW w:type="dxa" w:w="4510"/>
            <w:tcMar>
              <w:top w:w="80" w:type="dxa"/>
              <w:start w:w="120" w:type="dxa"/>
              <w:bottom w:w="80" w:type="dxa"/>
              <w:end w:w="120" w:type="dxa"/>
            </w:tcMar>
            <w:vAlign w:val="center"/>
          </w:tcPr>
          <w:p>
            <w:pPr>
              <w:spacing w:after="40" w:line="252" w:lineRule="auto"/>
            </w:pPr>
            <w:r>
              <w:rPr>
                <w:color w:val="243746"/>
                <w:sz w:val="18"/>
              </w:rPr>
              <w:t>Verify Notifyre idempotency, echoed client reference, callback occurred_at, and provider lookup capabilities; approve safe fallbacks.</w:t>
            </w:r>
          </w:p>
        </w:tc>
        <w:tc>
          <w:tcPr>
            <w:tcW w:type="dxa" w:w="2000"/>
            <w:tcMar>
              <w:top w:w="80" w:type="dxa"/>
              <w:start w:w="120" w:type="dxa"/>
              <w:bottom w:w="80" w:type="dxa"/>
              <w:end w:w="120" w:type="dxa"/>
            </w:tcMar>
            <w:vAlign w:val="center"/>
          </w:tcPr>
          <w:p>
            <w:pPr>
              <w:spacing w:after="40" w:line="252" w:lineRule="auto"/>
            </w:pPr>
            <w:r>
              <w:rPr>
                <w:color w:val="243746"/>
                <w:sz w:val="18"/>
              </w:rPr>
              <w:t>Integration Engineering + Product</w:t>
            </w:r>
          </w:p>
        </w:tc>
        <w:tc>
          <w:tcPr>
            <w:tcW w:type="dxa" w:w="1700"/>
            <w:tcMar>
              <w:top w:w="80" w:type="dxa"/>
              <w:start w:w="120" w:type="dxa"/>
              <w:bottom w:w="80" w:type="dxa"/>
              <w:end w:w="120" w:type="dxa"/>
            </w:tcMar>
            <w:vAlign w:val="center"/>
          </w:tcPr>
          <w:p>
            <w:pPr>
              <w:spacing w:after="40" w:line="252" w:lineRule="auto"/>
            </w:pPr>
            <w:r>
              <w:rPr>
                <w:color w:val="243746"/>
                <w:sz w:val="18"/>
              </w:rPr>
              <w:t>Before automatic resend/takeover</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M02-OI-006</w:t>
            </w:r>
          </w:p>
        </w:tc>
        <w:tc>
          <w:tcPr>
            <w:tcW w:type="dxa" w:w="4510"/>
            <w:tcMar>
              <w:top w:w="80" w:type="dxa"/>
              <w:start w:w="120" w:type="dxa"/>
              <w:bottom w:w="80" w:type="dxa"/>
              <w:end w:w="120" w:type="dxa"/>
            </w:tcMar>
            <w:vAlign w:val="center"/>
          </w:tcPr>
          <w:p>
            <w:pPr>
              <w:spacing w:after="40" w:line="252" w:lineRule="auto"/>
            </w:pPr>
            <w:r>
              <w:rPr>
                <w:color w:val="243746"/>
                <w:sz w:val="18"/>
              </w:rPr>
              <w:t>Approve event retention, legal hold, archival/export, correction, and destruction authority policies.</w:t>
            </w:r>
          </w:p>
        </w:tc>
        <w:tc>
          <w:tcPr>
            <w:tcW w:type="dxa" w:w="2000"/>
            <w:tcMar>
              <w:top w:w="80" w:type="dxa"/>
              <w:start w:w="120" w:type="dxa"/>
              <w:bottom w:w="80" w:type="dxa"/>
              <w:end w:w="120" w:type="dxa"/>
            </w:tcMar>
            <w:vAlign w:val="center"/>
          </w:tcPr>
          <w:p>
            <w:pPr>
              <w:spacing w:after="40" w:line="252" w:lineRule="auto"/>
            </w:pPr>
            <w:r>
              <w:rPr>
                <w:color w:val="243746"/>
                <w:sz w:val="18"/>
              </w:rPr>
              <w:t>Privacy + Compliance + Security</w:t>
            </w:r>
          </w:p>
        </w:tc>
        <w:tc>
          <w:tcPr>
            <w:tcW w:type="dxa" w:w="1700"/>
            <w:tcMar>
              <w:top w:w="80" w:type="dxa"/>
              <w:start w:w="120" w:type="dxa"/>
              <w:bottom w:w="80" w:type="dxa"/>
              <w:end w:w="120" w:type="dxa"/>
            </w:tcMar>
            <w:vAlign w:val="center"/>
          </w:tcPr>
          <w:p>
            <w:pPr>
              <w:spacing w:after="40" w:line="252" w:lineRule="auto"/>
            </w:pPr>
            <w:r>
              <w:rPr>
                <w:color w:val="243746"/>
                <w:sz w:val="18"/>
              </w:rPr>
              <w:t>Before production pilot</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M02-OI-007</w:t>
            </w:r>
          </w:p>
        </w:tc>
        <w:tc>
          <w:tcPr>
            <w:tcW w:type="dxa" w:w="4510"/>
            <w:tcMar>
              <w:top w:w="80" w:type="dxa"/>
              <w:start w:w="120" w:type="dxa"/>
              <w:bottom w:w="80" w:type="dxa"/>
              <w:end w:w="120" w:type="dxa"/>
            </w:tcMar>
            <w:vAlign w:val="center"/>
          </w:tcPr>
          <w:p>
            <w:pPr>
              <w:spacing w:after="40" w:line="252" w:lineRule="auto"/>
            </w:pPr>
            <w:r>
              <w:rPr>
                <w:color w:val="243746"/>
                <w:sz w:val="18"/>
              </w:rPr>
              <w:t>Approve the M02 core seed catalog, owning-module extension catalog, code ownership, compatibility process, and startup validation behavior.</w:t>
            </w:r>
          </w:p>
        </w:tc>
        <w:tc>
          <w:tcPr>
            <w:tcW w:type="dxa" w:w="2000"/>
            <w:tcMar>
              <w:top w:w="80" w:type="dxa"/>
              <w:start w:w="120" w:type="dxa"/>
              <w:bottom w:w="80" w:type="dxa"/>
              <w:end w:w="120" w:type="dxa"/>
            </w:tcMar>
            <w:vAlign w:val="center"/>
          </w:tcPr>
          <w:p>
            <w:pPr>
              <w:spacing w:after="40" w:line="252" w:lineRule="auto"/>
            </w:pPr>
            <w:r>
              <w:rPr>
                <w:color w:val="243746"/>
                <w:sz w:val="18"/>
              </w:rPr>
              <w:t>Product + Engineering</w:t>
            </w:r>
          </w:p>
        </w:tc>
        <w:tc>
          <w:tcPr>
            <w:tcW w:type="dxa" w:w="1700"/>
            <w:tcMar>
              <w:top w:w="80" w:type="dxa"/>
              <w:start w:w="120" w:type="dxa"/>
              <w:bottom w:w="80" w:type="dxa"/>
              <w:end w:w="120" w:type="dxa"/>
            </w:tcMar>
            <w:vAlign w:val="center"/>
          </w:tcPr>
          <w:p>
            <w:pPr>
              <w:spacing w:after="40" w:line="252" w:lineRule="auto"/>
            </w:pPr>
            <w:r>
              <w:rPr>
                <w:color w:val="243746"/>
                <w:sz w:val="18"/>
              </w:rPr>
              <w:t>Before seed migration</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M02-OI-008</w:t>
            </w:r>
          </w:p>
        </w:tc>
        <w:tc>
          <w:tcPr>
            <w:tcW w:type="dxa" w:w="4510"/>
            <w:tcMar>
              <w:top w:w="80" w:type="dxa"/>
              <w:start w:w="120" w:type="dxa"/>
              <w:bottom w:w="80" w:type="dxa"/>
              <w:end w:w="120" w:type="dxa"/>
            </w:tcMar>
            <w:vAlign w:val="center"/>
          </w:tcPr>
          <w:p>
            <w:pPr>
              <w:spacing w:after="40" w:line="252" w:lineRule="auto"/>
            </w:pPr>
            <w:r>
              <w:rPr>
                <w:color w:val="243746"/>
                <w:sz w:val="18"/>
              </w:rPr>
              <w:t>Choose the FR-028 crash-durable handoff mechanism for each path—atomic outbox/control record, scheduled re-derivation, or same-transaction write—and confirm M02/M06/M05 component ownership, deterministic keys, and the global lock order for cross-boundary transactions.</w:t>
            </w:r>
          </w:p>
        </w:tc>
        <w:tc>
          <w:tcPr>
            <w:tcW w:type="dxa" w:w="2000"/>
            <w:tcMar>
              <w:top w:w="80" w:type="dxa"/>
              <w:start w:w="120" w:type="dxa"/>
              <w:bottom w:w="80" w:type="dxa"/>
              <w:end w:w="120" w:type="dxa"/>
            </w:tcMar>
            <w:vAlign w:val="center"/>
          </w:tcPr>
          <w:p>
            <w:pPr>
              <w:spacing w:after="40" w:line="252" w:lineRule="auto"/>
            </w:pPr>
            <w:r>
              <w:rPr>
                <w:color w:val="243746"/>
                <w:sz w:val="18"/>
              </w:rPr>
              <w:t>Architecture + M05 + M06 + Security/SRE</w:t>
            </w:r>
          </w:p>
        </w:tc>
        <w:tc>
          <w:tcPr>
            <w:tcW w:type="dxa" w:w="1700"/>
            <w:tcMar>
              <w:top w:w="80" w:type="dxa"/>
              <w:start w:w="120" w:type="dxa"/>
              <w:bottom w:w="80" w:type="dxa"/>
              <w:end w:w="120" w:type="dxa"/>
            </w:tcMar>
            <w:vAlign w:val="center"/>
          </w:tcPr>
          <w:p>
            <w:pPr>
              <w:spacing w:after="40" w:line="252" w:lineRule="auto"/>
            </w:pPr>
            <w:r>
              <w:rPr>
                <w:color w:val="243746"/>
                <w:sz w:val="18"/>
              </w:rPr>
              <w:t>Before M06 design freeze</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M02-OI-009</w:t>
            </w:r>
          </w:p>
        </w:tc>
        <w:tc>
          <w:tcPr>
            <w:tcW w:type="dxa" w:w="4510"/>
            <w:tcMar>
              <w:top w:w="80" w:type="dxa"/>
              <w:start w:w="120" w:type="dxa"/>
              <w:bottom w:w="80" w:type="dxa"/>
              <w:end w:w="120" w:type="dxa"/>
            </w:tcMar>
            <w:vAlign w:val="center"/>
          </w:tcPr>
          <w:p>
            <w:pPr>
              <w:spacing w:after="40" w:line="252" w:lineRule="auto"/>
            </w:pPr>
            <w:r>
              <w:rPr>
                <w:color w:val="243746"/>
                <w:sz w:val="18"/>
              </w:rPr>
              <w:t>Set measured append, projection, replay, backlog-age, and per-tenant fairness objectives.</w:t>
            </w:r>
          </w:p>
        </w:tc>
        <w:tc>
          <w:tcPr>
            <w:tcW w:type="dxa" w:w="2000"/>
            <w:tcMar>
              <w:top w:w="80" w:type="dxa"/>
              <w:start w:w="120" w:type="dxa"/>
              <w:bottom w:w="80" w:type="dxa"/>
              <w:end w:w="120" w:type="dxa"/>
            </w:tcMar>
            <w:vAlign w:val="center"/>
          </w:tcPr>
          <w:p>
            <w:pPr>
              <w:spacing w:after="40" w:line="252" w:lineRule="auto"/>
            </w:pPr>
            <w:r>
              <w:rPr>
                <w:color w:val="243746"/>
                <w:sz w:val="18"/>
              </w:rPr>
              <w:t>Product + SRE</w:t>
            </w:r>
          </w:p>
        </w:tc>
        <w:tc>
          <w:tcPr>
            <w:tcW w:type="dxa" w:w="1700"/>
            <w:tcMar>
              <w:top w:w="80" w:type="dxa"/>
              <w:start w:w="120" w:type="dxa"/>
              <w:bottom w:w="80" w:type="dxa"/>
              <w:end w:w="120" w:type="dxa"/>
            </w:tcMar>
            <w:vAlign w:val="center"/>
          </w:tcPr>
          <w:p>
            <w:pPr>
              <w:spacing w:after="40" w:line="252" w:lineRule="auto"/>
            </w:pPr>
            <w:r>
              <w:rPr>
                <w:color w:val="243746"/>
                <w:sz w:val="18"/>
              </w:rPr>
              <w:t>Before production readiness</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M02-OI-010</w:t>
            </w:r>
          </w:p>
        </w:tc>
        <w:tc>
          <w:tcPr>
            <w:tcW w:type="dxa" w:w="4510"/>
            <w:tcMar>
              <w:top w:w="80" w:type="dxa"/>
              <w:start w:w="120" w:type="dxa"/>
              <w:bottom w:w="80" w:type="dxa"/>
              <w:end w:w="120" w:type="dxa"/>
            </w:tcMar>
            <w:vAlign w:val="center"/>
          </w:tcPr>
          <w:p>
            <w:pPr>
              <w:spacing w:after="40" w:line="252" w:lineRule="auto"/>
            </w:pPr>
            <w:r>
              <w:rPr>
                <w:color w:val="243746"/>
                <w:sz w:val="18"/>
              </w:rPr>
              <w:t>Decide whether privileged-change audit and integrity verification are sufficient or cryptographic event tamper evidence is required. If a hash chain is required, define how FR-026 lawful archival/destruction preserves verifiable chain continuity or tombstone evidence.</w:t>
            </w:r>
          </w:p>
        </w:tc>
        <w:tc>
          <w:tcPr>
            <w:tcW w:type="dxa" w:w="2000"/>
            <w:tcMar>
              <w:top w:w="80" w:type="dxa"/>
              <w:start w:w="120" w:type="dxa"/>
              <w:bottom w:w="80" w:type="dxa"/>
              <w:end w:w="120" w:type="dxa"/>
            </w:tcMar>
            <w:vAlign w:val="center"/>
          </w:tcPr>
          <w:p>
            <w:pPr>
              <w:spacing w:after="40" w:line="252" w:lineRule="auto"/>
            </w:pPr>
            <w:r>
              <w:rPr>
                <w:color w:val="243746"/>
                <w:sz w:val="18"/>
              </w:rPr>
              <w:t>Security + Privacy + Compliance</w:t>
            </w:r>
          </w:p>
        </w:tc>
        <w:tc>
          <w:tcPr>
            <w:tcW w:type="dxa" w:w="1700"/>
            <w:tcMar>
              <w:top w:w="80" w:type="dxa"/>
              <w:start w:w="120" w:type="dxa"/>
              <w:bottom w:w="80" w:type="dxa"/>
              <w:end w:w="120" w:type="dxa"/>
            </w:tcMar>
            <w:vAlign w:val="center"/>
          </w:tcPr>
          <w:p>
            <w:pPr>
              <w:spacing w:after="40" w:line="252" w:lineRule="auto"/>
            </w:pPr>
            <w:r>
              <w:rPr>
                <w:color w:val="243746"/>
                <w:sz w:val="18"/>
              </w:rPr>
              <w:t>Before technical design approval</w:t>
            </w:r>
          </w:p>
        </w:tc>
      </w:tr>
    </w:tbl>
    <w:p>
      <w:pPr>
        <w:spacing w:after="40"/>
      </w:pPr>
    </w:p>
    <w:p>
      <w:pPr>
        <w:pStyle w:val="Heading1"/>
      </w:pPr>
      <w:r>
        <w:t>14. Definition of done</w:t>
      </w:r>
    </w:p>
    <w:p>
      <w:pPr>
        <w:pStyle w:val="ListBullet"/>
        <w:ind w:left="360" w:hanging="259"/>
      </w:pPr>
      <w:r>
        <w:t>Scope, non-goals, terminology, producer authority, event contracts, data rules, interfaces, projection, correction, failure, security, and acceptance criteria are approved.</w:t>
      </w:r>
    </w:p>
    <w:p>
      <w:pPr>
        <w:pStyle w:val="ListBullet"/>
        <w:ind w:left="360" w:hanging="259"/>
      </w:pPr>
      <w:r>
        <w:t>D4 acceptance stamps are reflected in the canonical record; ADR-011 supersedes the affected portions of ADR-003 and ADR-005 before schema design freeze; all production-blocking M02 open items are resolved or formally accepted by named owners.</w:t>
      </w:r>
    </w:p>
    <w:p>
      <w:pPr>
        <w:pStyle w:val="ListBullet"/>
        <w:ind w:left="360" w:hanging="259"/>
      </w:pPr>
      <w:r>
        <w:t>Append-only schema, append sequence, canonical acceptance binding, constraints, indexes, reference data, grants, metadata schemas, shared classification inventory, and compatibility checks are implemented and version controlled.</w:t>
      </w:r>
    </w:p>
    <w:p>
      <w:pPr>
        <w:pStyle w:val="ListBullet"/>
        <w:ind w:left="360" w:hanging="259"/>
      </w:pPr>
      <w:r>
        <w:t>External-operation, inbound-observation, bulk projection, correction, ordinary failure, conflict, and at-least-once reconciliation-handoff contracts are versioned and pass producer/consumer integration tests.</w:t>
      </w:r>
    </w:p>
    <w:p>
      <w:pPr>
        <w:pStyle w:val="ListBullet"/>
        <w:ind w:left="360" w:hanging="259"/>
      </w:pPr>
      <w:r>
        <w:t>Crash, retry, duplicate, out-of-order, conflict, commit-ambiguity, replay, and cross-tenant negative suites pass in production-like infrastructure.</w:t>
      </w:r>
    </w:p>
    <w:p>
      <w:pPr>
        <w:pStyle w:val="ListBullet"/>
        <w:ind w:left="360" w:hanging="259"/>
      </w:pPr>
      <w:r>
        <w:t>Retention, legal hold, correction authority, export/disposition, rollback/forward-fix, and incident procedures are approved and exercised.</w:t>
      </w:r>
    </w:p>
    <w:p>
      <w:pPr>
        <w:pStyle w:val="ListBullet"/>
        <w:ind w:left="360" w:hanging="259"/>
      </w:pPr>
      <w:r>
        <w:t>Dashboards and alerts are live, PHI-safe, owned, and connected to M11 on-call procedures.</w:t>
      </w:r>
    </w:p>
    <w:p>
      <w:pPr>
        <w:pStyle w:val="ListBullet"/>
        <w:ind w:left="360" w:hanging="259"/>
      </w:pPr>
      <w:r>
        <w:t>No unresolved critical or high reliability, security, privacy, or patient-safety defects remain.</w:t>
      </w:r>
    </w:p>
    <w:p>
      <w:pPr>
        <w:pStyle w:val="Heading1"/>
      </w:pPr>
      <w:r>
        <w:t>Appendix A — Traceability matrix</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3900"/>
        <w:gridCol w:w="5460"/>
      </w:tblGrid>
      <w:tr>
        <w:trPr>
          <w:tblHeader w:val="true"/>
          <w:cantSplit w:val="true"/>
        </w:trPr>
        <w:tc>
          <w:tcPr>
            <w:tcW w:type="dxa" w:w="3900"/>
            <w:shd w:fill="E8EEF5"/>
            <w:tcMar>
              <w:top w:w="80" w:type="dxa"/>
              <w:start w:w="120" w:type="dxa"/>
              <w:bottom w:w="80" w:type="dxa"/>
              <w:end w:w="120" w:type="dxa"/>
            </w:tcMar>
            <w:vAlign w:val="center"/>
          </w:tcPr>
          <w:p>
            <w:r>
              <w:rPr>
                <w:b/>
                <w:color w:val="16324F"/>
                <w:sz w:val="18"/>
              </w:rPr>
              <w:t>Architecture commitment</w:t>
            </w:r>
          </w:p>
        </w:tc>
        <w:tc>
          <w:tcPr>
            <w:tcW w:type="dxa" w:w="5460"/>
            <w:shd w:fill="E8EEF5"/>
            <w:tcMar>
              <w:top w:w="80" w:type="dxa"/>
              <w:start w:w="120" w:type="dxa"/>
              <w:bottom w:w="80" w:type="dxa"/>
              <w:end w:w="120" w:type="dxa"/>
            </w:tcMar>
            <w:vAlign w:val="center"/>
          </w:tcPr>
          <w:p>
            <w:r>
              <w:rPr>
                <w:b/>
                <w:color w:val="16324F"/>
                <w:sz w:val="18"/>
              </w:rPr>
              <w:t>M02 requirements</w:t>
            </w:r>
          </w:p>
        </w:tc>
      </w:tr>
      <w:tr>
        <w:trPr>
          <w:cantSplit w:val="true"/>
        </w:trPr>
        <w:tc>
          <w:tcPr>
            <w:tcW w:type="dxa" w:w="3900"/>
            <w:tcMar>
              <w:top w:w="80" w:type="dxa"/>
              <w:start w:w="120" w:type="dxa"/>
              <w:bottom w:w="80" w:type="dxa"/>
              <w:end w:w="120" w:type="dxa"/>
            </w:tcMar>
            <w:vAlign w:val="center"/>
          </w:tcPr>
          <w:p>
            <w:pPr>
              <w:spacing w:after="40" w:line="252" w:lineRule="auto"/>
            </w:pPr>
            <w:r>
              <w:rPr>
                <w:color w:val="243746"/>
                <w:sz w:val="18"/>
              </w:rPr>
              <w:t>Stable operation_id</w:t>
            </w:r>
          </w:p>
        </w:tc>
        <w:tc>
          <w:tcPr>
            <w:tcW w:type="dxa" w:w="5460"/>
            <w:tcMar>
              <w:top w:w="80" w:type="dxa"/>
              <w:start w:w="120" w:type="dxa"/>
              <w:bottom w:w="80" w:type="dxa"/>
              <w:end w:w="120" w:type="dxa"/>
            </w:tcMar>
            <w:vAlign w:val="center"/>
          </w:tcPr>
          <w:p>
            <w:pPr>
              <w:spacing w:after="40" w:line="252" w:lineRule="auto"/>
            </w:pPr>
            <w:r>
              <w:rPr>
                <w:color w:val="243746"/>
                <w:sz w:val="18"/>
              </w:rPr>
              <w:t>FR-001–004, 006–008, 016, 021–022, 029, 035</w:t>
            </w:r>
          </w:p>
        </w:tc>
      </w:tr>
      <w:tr>
        <w:trPr>
          <w:cantSplit w:val="true"/>
        </w:trPr>
        <w:tc>
          <w:tcPr>
            <w:tcW w:type="dxa" w:w="3900"/>
            <w:tcMar>
              <w:top w:w="80" w:type="dxa"/>
              <w:start w:w="120" w:type="dxa"/>
              <w:bottom w:w="80" w:type="dxa"/>
              <w:end w:w="120" w:type="dxa"/>
            </w:tcMar>
            <w:vAlign w:val="center"/>
          </w:tcPr>
          <w:p>
            <w:pPr>
              <w:spacing w:after="40" w:line="252" w:lineRule="auto"/>
            </w:pPr>
            <w:r>
              <w:rPr>
                <w:color w:val="243746"/>
                <w:sz w:val="18"/>
              </w:rPr>
              <w:t>Three-stage external operations</w:t>
            </w:r>
          </w:p>
        </w:tc>
        <w:tc>
          <w:tcPr>
            <w:tcW w:type="dxa" w:w="5460"/>
            <w:tcMar>
              <w:top w:w="80" w:type="dxa"/>
              <w:start w:w="120" w:type="dxa"/>
              <w:bottom w:w="80" w:type="dxa"/>
              <w:end w:w="120" w:type="dxa"/>
            </w:tcMar>
            <w:vAlign w:val="center"/>
          </w:tcPr>
          <w:p>
            <w:pPr>
              <w:spacing w:after="40" w:line="252" w:lineRule="auto"/>
            </w:pPr>
            <w:r>
              <w:rPr>
                <w:color w:val="243746"/>
                <w:sz w:val="18"/>
              </w:rPr>
              <w:t>FR-002, 006–008, 013–016, 029–030</w:t>
            </w:r>
          </w:p>
        </w:tc>
      </w:tr>
      <w:tr>
        <w:trPr>
          <w:cantSplit w:val="true"/>
        </w:trPr>
        <w:tc>
          <w:tcPr>
            <w:tcW w:type="dxa" w:w="3900"/>
            <w:tcMar>
              <w:top w:w="80" w:type="dxa"/>
              <w:start w:w="120" w:type="dxa"/>
              <w:bottom w:w="80" w:type="dxa"/>
              <w:end w:w="120" w:type="dxa"/>
            </w:tcMar>
            <w:vAlign w:val="center"/>
          </w:tcPr>
          <w:p>
            <w:pPr>
              <w:spacing w:after="40" w:line="252" w:lineRule="auto"/>
            </w:pPr>
            <w:r>
              <w:rPr>
                <w:color w:val="243746"/>
                <w:sz w:val="18"/>
              </w:rPr>
              <w:t>Inbound observations</w:t>
            </w:r>
          </w:p>
        </w:tc>
        <w:tc>
          <w:tcPr>
            <w:tcW w:type="dxa" w:w="5460"/>
            <w:tcMar>
              <w:top w:w="80" w:type="dxa"/>
              <w:start w:w="120" w:type="dxa"/>
              <w:bottom w:w="80" w:type="dxa"/>
              <w:end w:w="120" w:type="dxa"/>
            </w:tcMar>
            <w:vAlign w:val="center"/>
          </w:tcPr>
          <w:p>
            <w:pPr>
              <w:spacing w:after="40" w:line="252" w:lineRule="auto"/>
            </w:pPr>
            <w:r>
              <w:rPr>
                <w:color w:val="243746"/>
                <w:sz w:val="18"/>
              </w:rPr>
              <w:t>FR-009, 011–013</w:t>
            </w:r>
          </w:p>
        </w:tc>
      </w:tr>
      <w:tr>
        <w:trPr>
          <w:cantSplit w:val="true"/>
        </w:trPr>
        <w:tc>
          <w:tcPr>
            <w:tcW w:type="dxa" w:w="3900"/>
            <w:tcMar>
              <w:top w:w="80" w:type="dxa"/>
              <w:start w:w="120" w:type="dxa"/>
              <w:bottom w:w="80" w:type="dxa"/>
              <w:end w:w="120" w:type="dxa"/>
            </w:tcMar>
            <w:vAlign w:val="center"/>
          </w:tcPr>
          <w:p>
            <w:pPr>
              <w:spacing w:after="40" w:line="252" w:lineRule="auto"/>
            </w:pPr>
            <w:r>
              <w:rPr>
                <w:color w:val="243746"/>
                <w:sz w:val="18"/>
              </w:rPr>
              <w:t>Append-only and idempotent events</w:t>
            </w:r>
          </w:p>
        </w:tc>
        <w:tc>
          <w:tcPr>
            <w:tcW w:type="dxa" w:w="5460"/>
            <w:tcMar>
              <w:top w:w="80" w:type="dxa"/>
              <w:start w:w="120" w:type="dxa"/>
              <w:bottom w:w="80" w:type="dxa"/>
              <w:end w:w="120" w:type="dxa"/>
            </w:tcMar>
            <w:vAlign w:val="center"/>
          </w:tcPr>
          <w:p>
            <w:pPr>
              <w:spacing w:after="40" w:line="252" w:lineRule="auto"/>
            </w:pPr>
            <w:r>
              <w:rPr>
                <w:color w:val="243746"/>
                <w:sz w:val="18"/>
              </w:rPr>
              <w:t>FR-005, 010–011, 017–019, 024, 028–029; NFR-010</w:t>
            </w:r>
          </w:p>
        </w:tc>
      </w:tr>
      <w:tr>
        <w:trPr>
          <w:cantSplit w:val="true"/>
        </w:trPr>
        <w:tc>
          <w:tcPr>
            <w:tcW w:type="dxa" w:w="3900"/>
            <w:tcMar>
              <w:top w:w="80" w:type="dxa"/>
              <w:start w:w="120" w:type="dxa"/>
              <w:bottom w:w="80" w:type="dxa"/>
              <w:end w:w="120" w:type="dxa"/>
            </w:tcMar>
            <w:vAlign w:val="center"/>
          </w:tcPr>
          <w:p>
            <w:pPr>
              <w:spacing w:after="40" w:line="252" w:lineRule="auto"/>
            </w:pPr>
            <w:r>
              <w:rPr>
                <w:color w:val="243746"/>
                <w:sz w:val="18"/>
              </w:rPr>
              <w:t>Deterministic projections</w:t>
            </w:r>
          </w:p>
        </w:tc>
        <w:tc>
          <w:tcPr>
            <w:tcW w:type="dxa" w:w="5460"/>
            <w:tcMar>
              <w:top w:w="80" w:type="dxa"/>
              <w:start w:w="120" w:type="dxa"/>
              <w:bottom w:w="80" w:type="dxa"/>
              <w:end w:w="120" w:type="dxa"/>
            </w:tcMar>
            <w:vAlign w:val="center"/>
          </w:tcPr>
          <w:p>
            <w:pPr>
              <w:spacing w:after="40" w:line="252" w:lineRule="auto"/>
            </w:pPr>
            <w:r>
              <w:rPr>
                <w:color w:val="243746"/>
                <w:sz w:val="18"/>
              </w:rPr>
              <w:t>FR-013–017, 019, 023, 033; NFR-003–005, 008</w:t>
            </w:r>
          </w:p>
        </w:tc>
      </w:tr>
      <w:tr>
        <w:trPr>
          <w:cantSplit w:val="true"/>
        </w:trPr>
        <w:tc>
          <w:tcPr>
            <w:tcW w:type="dxa" w:w="3900"/>
            <w:tcMar>
              <w:top w:w="80" w:type="dxa"/>
              <w:start w:w="120" w:type="dxa"/>
              <w:bottom w:w="80" w:type="dxa"/>
              <w:end w:w="120" w:type="dxa"/>
            </w:tcMar>
            <w:vAlign w:val="center"/>
          </w:tcPr>
          <w:p>
            <w:pPr>
              <w:spacing w:after="40" w:line="252" w:lineRule="auto"/>
            </w:pPr>
            <w:r>
              <w:rPr>
                <w:color w:val="243746"/>
                <w:sz w:val="18"/>
              </w:rPr>
              <w:t>Correction conventions</w:t>
            </w:r>
          </w:p>
        </w:tc>
        <w:tc>
          <w:tcPr>
            <w:tcW w:type="dxa" w:w="5460"/>
            <w:tcMar>
              <w:top w:w="80" w:type="dxa"/>
              <w:start w:w="120" w:type="dxa"/>
              <w:bottom w:w="80" w:type="dxa"/>
              <w:end w:w="120" w:type="dxa"/>
            </w:tcMar>
            <w:vAlign w:val="center"/>
          </w:tcPr>
          <w:p>
            <w:pPr>
              <w:spacing w:after="40" w:line="252" w:lineRule="auto"/>
            </w:pPr>
            <w:r>
              <w:rPr>
                <w:color w:val="243746"/>
                <w:sz w:val="18"/>
              </w:rPr>
              <w:t>FR-010, 017, 019, 026</w:t>
            </w:r>
          </w:p>
        </w:tc>
      </w:tr>
      <w:tr>
        <w:trPr>
          <w:cantSplit w:val="true"/>
        </w:trPr>
        <w:tc>
          <w:tcPr>
            <w:tcW w:type="dxa" w:w="3900"/>
            <w:tcMar>
              <w:top w:w="80" w:type="dxa"/>
              <w:start w:w="120" w:type="dxa"/>
              <w:bottom w:w="80" w:type="dxa"/>
              <w:end w:w="120" w:type="dxa"/>
            </w:tcMar>
            <w:vAlign w:val="center"/>
          </w:tcPr>
          <w:p>
            <w:pPr>
              <w:spacing w:after="40" w:line="252" w:lineRule="auto"/>
            </w:pPr>
            <w:r>
              <w:rPr>
                <w:color w:val="243746"/>
                <w:sz w:val="18"/>
              </w:rPr>
              <w:t>PHI-minimum evidence and telemetry</w:t>
            </w:r>
          </w:p>
        </w:tc>
        <w:tc>
          <w:tcPr>
            <w:tcW w:type="dxa" w:w="5460"/>
            <w:tcMar>
              <w:top w:w="80" w:type="dxa"/>
              <w:start w:w="120" w:type="dxa"/>
              <w:bottom w:w="80" w:type="dxa"/>
              <w:end w:w="120" w:type="dxa"/>
            </w:tcMar>
            <w:vAlign w:val="center"/>
          </w:tcPr>
          <w:p>
            <w:pPr>
              <w:spacing w:after="40" w:line="252" w:lineRule="auto"/>
            </w:pPr>
            <w:r>
              <w:rPr>
                <w:color w:val="243746"/>
                <w:sz w:val="18"/>
              </w:rPr>
              <w:t>FR-020, 025–027, 032, 034; NFR-006–007, 010</w:t>
            </w:r>
          </w:p>
        </w:tc>
      </w:tr>
      <w:tr>
        <w:trPr>
          <w:cantSplit w:val="true"/>
        </w:trPr>
        <w:tc>
          <w:tcPr>
            <w:tcW w:type="dxa" w:w="3900"/>
            <w:tcMar>
              <w:top w:w="80" w:type="dxa"/>
              <w:start w:w="120" w:type="dxa"/>
              <w:bottom w:w="80" w:type="dxa"/>
              <w:end w:w="120" w:type="dxa"/>
            </w:tcMar>
            <w:vAlign w:val="center"/>
          </w:tcPr>
          <w:p>
            <w:pPr>
              <w:spacing w:after="40" w:line="252" w:lineRule="auto"/>
            </w:pPr>
            <w:r>
              <w:rPr>
                <w:color w:val="243746"/>
                <w:sz w:val="18"/>
              </w:rPr>
              <w:t>M03/M05/M06/M11 handoffs</w:t>
            </w:r>
          </w:p>
        </w:tc>
        <w:tc>
          <w:tcPr>
            <w:tcW w:type="dxa" w:w="5460"/>
            <w:tcMar>
              <w:top w:w="80" w:type="dxa"/>
              <w:start w:w="120" w:type="dxa"/>
              <w:bottom w:w="80" w:type="dxa"/>
              <w:end w:w="120" w:type="dxa"/>
            </w:tcMar>
            <w:vAlign w:val="center"/>
          </w:tcPr>
          <w:p>
            <w:pPr>
              <w:spacing w:after="40" w:line="252" w:lineRule="auto"/>
            </w:pPr>
            <w:r>
              <w:rPr>
                <w:color w:val="243746"/>
                <w:sz w:val="18"/>
              </w:rPr>
              <w:t>FR-011, 015–016, 023, 025, 028, 030–031, 034–035; NFR-005–008</w:t>
            </w:r>
          </w:p>
        </w:tc>
      </w:tr>
      <w:tr>
        <w:trPr>
          <w:cantSplit w:val="true"/>
        </w:trPr>
        <w:tc>
          <w:tcPr>
            <w:tcW w:type="dxa" w:w="3900"/>
            <w:tcMar>
              <w:top w:w="80" w:type="dxa"/>
              <w:start w:w="120" w:type="dxa"/>
              <w:bottom w:w="80" w:type="dxa"/>
              <w:end w:w="120" w:type="dxa"/>
            </w:tcMar>
            <w:vAlign w:val="center"/>
          </w:tcPr>
          <w:p>
            <w:pPr>
              <w:spacing w:after="40" w:line="252" w:lineRule="auto"/>
            </w:pPr>
            <w:r>
              <w:rPr>
                <w:color w:val="243746"/>
                <w:sz w:val="18"/>
              </w:rPr>
              <w:t>M01 tenant boundary</w:t>
            </w:r>
          </w:p>
        </w:tc>
        <w:tc>
          <w:tcPr>
            <w:tcW w:type="dxa" w:w="5460"/>
            <w:tcMar>
              <w:top w:w="80" w:type="dxa"/>
              <w:start w:w="120" w:type="dxa"/>
              <w:bottom w:w="80" w:type="dxa"/>
              <w:end w:w="120" w:type="dxa"/>
            </w:tcMar>
            <w:vAlign w:val="center"/>
          </w:tcPr>
          <w:p>
            <w:pPr>
              <w:spacing w:after="40" w:line="252" w:lineRule="auto"/>
            </w:pPr>
            <w:r>
              <w:rPr>
                <w:color w:val="243746"/>
                <w:sz w:val="18"/>
              </w:rPr>
              <w:t>FR-012, 017–024, 027–028, 032–033</w:t>
            </w:r>
          </w:p>
        </w:tc>
      </w:tr>
    </w:tbl>
    <w:p>
      <w:pPr>
        <w:spacing w:after="40"/>
      </w:pPr>
    </w:p>
    <w:p>
      <w:pPr>
        <w:pStyle w:val="Heading1"/>
      </w:pPr>
      <w:r>
        <w:t>Appendix B — Assumptions</w:t>
      </w:r>
    </w:p>
    <w:p>
      <w:pPr>
        <w:pStyle w:val="ListBullet"/>
        <w:ind w:left="360" w:hanging="259"/>
      </w:pPr>
      <w:r>
        <w:t>M01 tenant context, tenant transaction gateway, schema conventions, and cross-tenant controls are the mandatory access boundary for M02.</w:t>
      </w:r>
    </w:p>
    <w:p>
      <w:pPr>
        <w:pStyle w:val="ListBullet"/>
        <w:ind w:left="360" w:hanging="259"/>
      </w:pPr>
      <w:r>
        <w:t>Cloud SQL for PostgreSQL is the authoritative event store; central logs are observability signals, not a duplicate audit database.</w:t>
      </w:r>
    </w:p>
    <w:p>
      <w:pPr>
        <w:pStyle w:val="ListBullet"/>
        <w:ind w:left="360" w:hanging="259"/>
      </w:pPr>
      <w:r>
        <w:t>External providers may deliver callbacks at least once and out of order, and their timestamp/idempotency capabilities vary by adapter.</w:t>
      </w:r>
    </w:p>
    <w:p>
      <w:pPr>
        <w:pStyle w:val="ListBullet"/>
        <w:ind w:left="360" w:hanging="259"/>
      </w:pPr>
      <w:r>
        <w:t>M03 provides validated, durable inbound work; M02 defines committed evidence and detector-query contracts; M06 owns scheduling, detector execution, provider lookup, and mutable reconciliation lifecycle; M05 owns staff work-item lifecycle.</w:t>
      </w:r>
    </w:p>
    <w:p>
      <w:pPr>
        <w:pStyle w:val="ListBullet"/>
        <w:ind w:left="360" w:hanging="259"/>
      </w:pPr>
      <w:r>
        <w:t>M05 can create one effective tenant-bound staff item for an ordinary failure, conflict, or unsupported reconciliation outcome from an at-least-once deterministic handoff.</w:t>
      </w:r>
    </w:p>
    <w:p>
      <w:pPr>
        <w:pStyle w:val="ListBullet"/>
        <w:ind w:left="360" w:hanging="259"/>
      </w:pPr>
      <w:r>
        <w:t>M10 may present timelines and projections but does not mutate event evidence; M11 owns central observability and support runbooks.</w:t>
      </w:r>
    </w:p>
    <w:p>
      <w:pPr>
        <w:pStyle w:val="ListBullet"/>
        <w:ind w:left="360" w:hanging="259"/>
      </w:pPr>
      <w:r>
        <w:t>Exact service objectives, retention periods, and provider capability fallbacks require approval and are intentionally tracked as open items.</w:t>
      </w:r>
    </w:p>
    <w:p>
      <w:pPr>
        <w:pStyle w:val="Heading1"/>
      </w:pPr>
      <w:r>
        <w:t>Appendix C — Source basis</w:t>
      </w:r>
    </w:p>
    <w:p>
      <w:pPr>
        <w:pStyle w:val="ListBullet"/>
        <w:ind w:left="360" w:hanging="259"/>
      </w:pPr>
      <w:r>
        <w:t>HaloFlow Module Delivery Tracker (23 August 2026).</w:t>
      </w:r>
    </w:p>
    <w:p>
      <w:pPr>
        <w:pStyle w:val="ListBullet"/>
        <w:ind w:left="360" w:hanging="259"/>
      </w:pPr>
      <w:r>
        <w:t>HaloVox Track B Event Tracking Requirements, version 2.4 (2 August 2026), especially Event Tracking, Reference Data, Correlation ID, and Non-Functional Requirements.</w:t>
      </w:r>
    </w:p>
    <w:p>
      <w:pPr>
        <w:pStyle w:val="ListBullet"/>
        <w:ind w:left="360" w:hanging="259"/>
      </w:pPr>
      <w:r>
        <w:t>HaloVox Track B Architecture Decision Records, version 4 (2 August 2026): ADR-003, ADR-005, and ADR-007, plus shared-infrastructure inventory.</w:t>
      </w:r>
    </w:p>
    <w:p>
      <w:pPr>
        <w:pStyle w:val="ListBullet"/>
        <w:ind w:left="360" w:hanging="259"/>
      </w:pPr>
      <w:r>
        <w:t>M01 Detailed Requirements — Tenant Context and Data Access, version 1.0 (26 August 2026).</w:t>
      </w:r>
    </w:p>
    <w:p>
      <w:pPr>
        <w:pStyle w:val="ListBullet"/>
        <w:ind w:left="360" w:hanging="259"/>
      </w:pPr>
      <w:r>
        <w:t>M01 Technical Design — Tenant Context and Data Access, version 0.2 (26 August 2026).</w:t>
      </w:r>
    </w:p>
    <w:p>
      <w:pPr>
        <w:pStyle w:val="ListBullet"/>
        <w:ind w:left="360" w:hanging="259"/>
      </w:pPr>
      <w:r>
        <w:t>HaloFlow Overall Architecture v1 — system overview, platform deployment, data and tenant isolation, and security/governance views.</w:t>
      </w:r>
    </w:p>
    <w:sectPr w:rsidR="00FC693F" w:rsidRPr="0006063C" w:rsidSect="00034616">
      <w:headerReference w:type="default" r:id="rId9"/>
      <w:footerReference w:type="default" r:id="rId10"/>
      <w:pgSz w:w="12240" w:h="15840"/>
      <w:pgMar w:top="1152" w:right="1440" w:bottom="108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0"/>
        <w:sz w:val="16"/>
      </w:rPr>
      <w:t xml:space="preserve">M02 • Approved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770"/>
        <w:sz w:val="16"/>
      </w:rPr>
      <w:t>HALOFLOW  |  PRODUCT &amp; SYSTEM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7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64"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M02 Detailed Requirements — Event and Operation Foundation</dc:title>
  <dc:subject>HaloFlow Medical Solution</dc:subject>
  <dc:creator>HaloFlow</dc:creator>
  <cp:keywords/>
  <dc:description>Approved v1.0 on 28 August 2026 following Claude approval review v0.4</dc:description>
  <cp:lastModifiedBy/>
  <cp:revision>1</cp:revision>
  <dcterms:created xsi:type="dcterms:W3CDTF">2013-12-23T23:15:00Z</dcterms:created>
  <dcterms:modified xsi:type="dcterms:W3CDTF">2013-12-23T23:15:00Z</dcterms:modified>
  <cp:category/>
</cp:coreProperties>
</file>