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Calibri" w:hAnsi="Calibri"/>
          <w:b/>
          <w:color w:val="0D9488"/>
          <w:sz w:val="20"/>
        </w:rPr>
        <w:t>ARCHITECTURE DESIGN</w:t>
      </w:r>
    </w:p>
    <w:p>
      <w:pPr>
        <w:keepNext/>
        <w:spacing w:before="0" w:after="120"/>
      </w:pPr>
      <w:r>
        <w:rPr>
          <w:rFonts w:ascii="Calibri" w:hAnsi="Calibri"/>
          <w:b/>
          <w:color w:val="17324D"/>
          <w:sz w:val="50"/>
        </w:rPr>
        <w:t>Intelligent Layer — High-Level Architecture</w:t>
      </w:r>
    </w:p>
    <w:p>
      <w:pPr>
        <w:spacing w:after="280"/>
        <w:pBdr>
          <w:bottom w:val="single" w:sz="18" w:space="10" w:color="0D9488"/>
        </w:pBdr>
      </w:pPr>
      <w:r>
        <w:rPr>
          <w:rFonts w:ascii="Calibri" w:hAnsi="Calibri"/>
          <w:color w:val="5B6770"/>
          <w:sz w:val="26"/>
        </w:rPr>
        <w:t>A modular intelligence plane for governed decisions, human review and controlled learning</w:t>
      </w:r>
    </w:p>
    <w:p>
      <w:pPr>
        <w:spacing w:after="40" w:line="252" w:lineRule="auto"/>
      </w:pPr>
      <w:r>
        <w:rPr>
          <w:rFonts w:ascii="Calibri" w:hAnsi="Calibri"/>
          <w:b/>
          <w:color w:val="17324D"/>
          <w:sz w:val="21"/>
        </w:rPr>
        <w:t xml:space="preserve">Product: </w:t>
      </w:r>
      <w:r>
        <w:rPr>
          <w:rFonts w:ascii="Calibri" w:hAnsi="Calibri"/>
          <w:color w:val="1F2937"/>
          <w:sz w:val="21"/>
        </w:rPr>
        <w:t>HaloFlow Medical Solution</w:t>
      </w:r>
    </w:p>
    <w:p>
      <w:pPr>
        <w:spacing w:after="40" w:line="252" w:lineRule="auto"/>
      </w:pPr>
      <w:r>
        <w:rPr>
          <w:rFonts w:ascii="Calibri" w:hAnsi="Calibri"/>
          <w:b/>
          <w:color w:val="17324D"/>
          <w:sz w:val="21"/>
        </w:rPr>
        <w:t xml:space="preserve">Status: </w:t>
      </w:r>
      <w:r>
        <w:rPr>
          <w:rFonts w:ascii="Calibri" w:hAnsi="Calibri"/>
          <w:color w:val="1F2937"/>
          <w:sz w:val="21"/>
        </w:rPr>
        <w:t>Draft for product, clinical, security and engineering review</w:t>
      </w:r>
    </w:p>
    <w:p>
      <w:pPr>
        <w:spacing w:after="40" w:line="252" w:lineRule="auto"/>
      </w:pPr>
      <w:r>
        <w:rPr>
          <w:rFonts w:ascii="Calibri" w:hAnsi="Calibri"/>
          <w:b/>
          <w:color w:val="17324D"/>
          <w:sz w:val="21"/>
        </w:rPr>
        <w:t xml:space="preserve">Version: </w:t>
      </w:r>
      <w:r>
        <w:rPr>
          <w:rFonts w:ascii="Calibri" w:hAnsi="Calibri"/>
          <w:color w:val="1F2937"/>
          <w:sz w:val="21"/>
        </w:rPr>
        <w:t>0.1</w:t>
      </w:r>
    </w:p>
    <w:p>
      <w:pPr>
        <w:spacing w:after="40" w:line="252" w:lineRule="auto"/>
      </w:pPr>
      <w:r>
        <w:rPr>
          <w:rFonts w:ascii="Calibri" w:hAnsi="Calibri"/>
          <w:b/>
          <w:color w:val="17324D"/>
          <w:sz w:val="21"/>
        </w:rPr>
        <w:t xml:space="preserve">Date: </w:t>
      </w:r>
      <w:r>
        <w:rPr>
          <w:rFonts w:ascii="Calibri" w:hAnsi="Calibri"/>
          <w:color w:val="1F2937"/>
          <w:sz w:val="21"/>
        </w:rPr>
        <w:t>23 August 2026</w:t>
      </w:r>
    </w:p>
    <w:p>
      <w:pPr>
        <w:spacing w:after="40" w:line="252" w:lineRule="auto"/>
      </w:pPr>
      <w:r>
        <w:rPr>
          <w:rFonts w:ascii="Calibri" w:hAnsi="Calibri"/>
          <w:b/>
          <w:color w:val="17324D"/>
          <w:sz w:val="21"/>
        </w:rPr>
        <w:t xml:space="preserve">Delivery: </w:t>
      </w:r>
      <w:r>
        <w:rPr>
          <w:rFonts w:ascii="Calibri" w:hAnsi="Calibri"/>
          <w:color w:val="1F2937"/>
          <w:sz w:val="21"/>
        </w:rPr>
        <w:t>Foundation in Phases 1–2; advanced intelligence in Phase 3+</w:t>
      </w:r>
    </w:p>
    <w:p>
      <w:pPr>
        <w:spacing w:before="160" w:after="200" w:line="269" w:lineRule="auto"/>
        <w:ind w:left="173" w:right="173"/>
        <w:shd w:fill="E8F5F3"/>
      </w:pPr>
      <w:r>
        <w:rPr>
          <w:rFonts w:ascii="Calibri" w:hAnsi="Calibri"/>
          <w:b/>
          <w:color w:val="17324D"/>
          <w:sz w:val="22"/>
        </w:rPr>
        <w:t xml:space="preserve">Architecture decision  </w:t>
      </w:r>
      <w:r>
        <w:rPr>
          <w:rFonts w:ascii="Calibri" w:hAnsi="Calibri"/>
          <w:color w:val="1F2937"/>
          <w:sz w:val="22"/>
        </w:rPr>
        <w:t>Create a separate Intelligence Plane connected to HaloFlow through governed APIs and events. Establish the contracts, safety controls and outcome loop in Phases 1–2; introduce advanced models progressively in Phase 3 and beyond.</w:t>
      </w:r>
    </w:p>
    <w:p>
      <w:pPr>
        <w:pStyle w:val="Heading1"/>
      </w:pPr>
      <w:r>
        <w:t>1. Architecture objectives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Keep clinical and operational workflows independent from any single model or vendor.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Use governed, permissioned and traceable data for every decision.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Support deterministic rules, predictive models, knowledge retrieval and generative AI through one controlled decision path.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Require human review according to use-case risk.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Capture recommendations, actions and outcomes as the basis of HaloFlow’s learning advantage.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Preserve core workflows when an intelligence component is degraded or unavailable.</w:t>
      </w:r>
    </w:p>
    <w:p>
      <w:pPr>
        <w:pStyle w:val="Heading1"/>
      </w:pPr>
      <w:r>
        <w:t>2. Logical architecture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08745"/>
            <wp:docPr id="1" name="Picture 1" title="HaloFlow Intelligent Layer logical architecture" descr="Layered architecture showing experience channels, the HaloFlow access and core platform, governed data and events, the Intelligence Plane, and the governance and controlled learning loo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flow_intelligent_layer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08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770"/>
          <w:sz w:val="18"/>
        </w:rPr>
        <w:t>Figure 1. HaloFlow Intelligent Layer logical architecture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The architecture separates the runtime decision loop from the controlled learning loop. Production models and rules are updated only through evaluated and approved releases.</w:t>
      </w:r>
    </w:p>
    <w:p>
      <w:r>
        <w:br w:type="page"/>
      </w:r>
    </w:p>
    <w:p>
      <w:pPr>
        <w:pStyle w:val="Heading1"/>
      </w:pPr>
      <w:r>
        <w:t>3. Architecture layers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50"/>
        <w:gridCol w:w="371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Layer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Core components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Experience channels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Clinician, patient and operations applications plus EHR and partner systems.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Present intelligence inside existing workflows.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Access and core platform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API gateway, identity, tenant controls, workflow services and FHIR integration.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Authenticate, authorize, coordinate and persist core business operations.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Data and event foundation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Event bus, operational store, context service, knowledge repository and outcome store.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Supply governed, timely and traceable decision context.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Intelligence Plane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Orchestrator, safety policy, rules, retrieval, model gateway and recommendation service.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Select, execute, explain and control intelligence.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Governance and operations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Registry, evaluation, audit, monitoring, release and rollback.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Maintain safety, reproducibility and controlled improvement.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t>4. Core component design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3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Component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3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Integration Gateway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Exchanges data with EHRs, devices and partners using controlled APIs and FHIR where applicable.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API Gateway / BFF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Provides authenticated, tenant-aware interfaces for HaloFlow applications and external consumers.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Event Bus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Publishes versioned workflow events such as referrals, visits, assessments, results, tasks and outcomes.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Operational Data Store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Maintains source-of-truth transactional data for HaloFlow workflows.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Patient Context Service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Builds an authorized, time-relevant patient and workflow view with provenance and quality indicators.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Knowledge Repository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Stores approved protocols, policies, pathways and educational content with versions and effective dates.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Decision Orchestrator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Selects the applicable rule, retrieval, predictive or generative path based on the use case.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Safety and Policy Engine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Enforces authorization, consent, risk, evidence, confidence, escalation and human-review policies.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Rules Engine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Executes deterministic, versioned and explainable clinical or operational logic.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Model Gateway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Offers one controlled interface to approved predictive and generative models and providers.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Recommendation Service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Returns a structured decision object containing action, reasons, evidence, versions and review state.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Outcome Store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Connects recommendation exposure, user response, completed action and subsequent outcome.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Registry and Evaluation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Versions and validates models, prompts, rules and knowledge before controlled release.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Monitoring and Audit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Records access, lineage, performance, drift, safety, cost and historical decisions.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t>5. Primary runtime flow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A HaloFlow workflow publishes an event or requests decision support.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The context service assembles only authorized, relevant and sufficiently current information.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The safety and policy engine verifies identity, tenant, purpose, consent and use-case eligibility.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The decision orchestrator selects a rule, predictive model, knowledge retrieval, generative model, combination, or no automated recommendation.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The recommendation service constructs a structured and explainable result.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The policy engine determines whether the result may be displayed, requires review, must be escalated or must be blocked.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The recommendation appears within the existing HaloFlow workflow.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</w:rPr>
        <w:t>HaloFlow captures the user response, completed action and subsequent measurable outcome.</w:t>
      </w:r>
    </w:p>
    <w:p>
      <w:pPr>
        <w:pStyle w:val="Heading1"/>
      </w:pPr>
      <w:r>
        <w:t>6. Controlled learning loop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Recommendation exposure and reviewer response are captured as structured events.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Downstream actions and relevant outcomes are linked using stable identifiers.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Offline evaluation measures benefit, safety, drift and relevant subgroup performance.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Clinical, product, privacy and security owners approve changes according to risk.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Approved rules, prompts and models are released gradually with monitoring and rollback.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Feedback never updates a production model directly.</w:t>
      </w:r>
    </w:p>
    <w:p>
      <w:pPr>
        <w:pStyle w:val="Heading1"/>
      </w:pPr>
      <w:r>
        <w:t>7. Key interfaces and contracts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900"/>
        <w:gridCol w:w="57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Contract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Owner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Minimum content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Workflow event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Event bus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event_id, type, schema_version, source, organization, subject, timestamp, authorization context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Context request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Context service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subject, use_case, requesting role, permitted purpose, point-in-time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Decision request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Orchestrator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use_case, context reference, requested action, tenant and trace identifiers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Recommendation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Recommendation service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action, priority, reason codes, explanation, evidence, uncertainty, versions, review state, expiry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Feedback event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Outcome store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recommendation, reviewer, response, modification, reason, action and timestamp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Outcome event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Outcome store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7"/>
              </w:rPr>
              <w:t>recommendation/action linkage, outcome definition, value, observation period and source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t>8. Recommendation contract</w:t>
      </w:r>
    </w:p>
    <w:p>
      <w:pPr>
        <w:keepNext w:val="0"/>
      </w:pPr>
      <w:r>
        <w:rPr>
          <w:rFonts w:ascii="Calibri" w:hAnsi="Calibri"/>
          <w:i w:val="0"/>
          <w:color w:val="1F2937"/>
        </w:rPr>
        <w:t>Every intelligence path shall converge on a common recommendation object. The contract should include: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Field group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Required information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Identity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recommendation_id, use_case, organization and trace identifiers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Decision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recommended_action, priority and permitted follow-up actions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Rationale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reason codes, user-facing explanation and relevant input indicators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source identifiers, versions and applicable effective dates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Uncertainty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confidence or uncertainty indicator and data-quality warnings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Governance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rule, model, prompt and policy versions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Workflow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human-review requirement, status, creation time and expiry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t>9. Security, safety and privacy controls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3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Control domain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3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High-level design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Identity and tenant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OIDC/OAuth, service identity, tenant isolation and least privilege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Authorization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Role-, purpose- and context-based policies evaluated for every decision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Consent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Permitted-use metadata checked before data retrieval or model invocation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Data protection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Encryption in transit and at rest, secrets management and minimization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Clinical safety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Risk classification, human review, evidence requirements and escalation thresholds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External models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Approved providers, no unauthorized retention or training, strict logging policy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Audit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Tamper-evident access, decision, version, review and action records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Resilience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Timeouts, safe fallbacks, circuit breakers and no silent unapproved substitution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t>10. Logical deployment boundaries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Core HaloFlow platform — application APIs, workflows, identity and operational database.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Integration services — FHIR adapters, partner APIs and event publishing.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Intelligence services — orchestrator, policy engine, rules, retrieval, model gateway and recommendation service.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Data platform — context features, analytics, outcomes and approved knowledge.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Governance platform — registries, evaluation, monitoring, audit and incident response.</w:t>
      </w:r>
    </w:p>
    <w:p>
      <w:pPr>
        <w:spacing w:before="160" w:after="200" w:line="269" w:lineRule="auto"/>
        <w:ind w:left="173" w:right="173"/>
        <w:shd w:fill="EAF2F8"/>
      </w:pPr>
      <w:r>
        <w:rPr>
          <w:rFonts w:ascii="Calibri" w:hAnsi="Calibri"/>
          <w:b/>
          <w:color w:val="17324D"/>
          <w:sz w:val="22"/>
        </w:rPr>
        <w:t xml:space="preserve">Implementation guidance  </w:t>
      </w:r>
      <w:r>
        <w:rPr>
          <w:rFonts w:ascii="Calibri" w:hAnsi="Calibri"/>
          <w:color w:val="1F2937"/>
          <w:sz w:val="22"/>
        </w:rPr>
        <w:t>Phase 1 may implement several logical components as modules within a small number of deployable services. Preserve the boundaries through stable interfaces; split deployments only when scale, ownership, security or release cadence justifies it.</w:t>
      </w:r>
    </w:p>
    <w:p>
      <w:pPr>
        <w:pStyle w:val="Heading1"/>
      </w:pPr>
      <w:r>
        <w:t>11. Suggested technical stack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Capability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Starting option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Application APIs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Existing HaloFlow stack; Python/FastAPI for intelligence-facing services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Operational data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Healthcare exchange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FHIR R4 APIs and SMART on FHIR where applicable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Events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Managed event bus or queue; Kafka when throughput and replay needs justify it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Analytics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Object storage plus a cloud data warehouse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Context/features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Curated PostgreSQL or warehouse tables initially; feature store later if needed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Rules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Versioned application rules initially; DMN or policy engine as complexity grows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Knowledge retrieval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Controlled document storage plus PostgreSQL/pgvector initially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Predictive models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Python, scikit-learn or XGBoost; PyTorch when justified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Generative AI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Vendor-independent gateway to approved model providers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Workflow orchestration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Existing workflow engine, Temporal or Camunda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Model lifecycle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MLflow or a managed cloud model registry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Observability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OpenTelemetry integrated with existing monitoring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Security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OIDC/OAuth, RBAC/ABAC, secrets management, encryption and immutable audit records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t>12. Phased architecture delivery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Stage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8"/>
              </w:rPr>
              <w:t>Architecture capability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Phase 1 — Foundation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Schemas, consent, identity, audit, outcome capture, rules, recommendation contract and workflow review.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Phase 2 — Assisted intelligence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Context service, approved knowledge retrieval, model gateway, low-risk AI, feedback, shadow mode and monitoring.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Phase 3 — Predictive intelligence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Validated models, full orchestration, registry, controlled releases, drift and subgroup monitoring.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Phase 4 — Optimization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18"/>
              </w:rPr>
              <w:t>Outcome-driven optimization, organization configuration and carefully bounded automation.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t>13. Architecture decisions required now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Canonical event model and schema-versioning rules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Structured recommendation contract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Patient and workflow context interface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Consent, authorization and tenant policy boundaries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Outcome definitions and recommendation-to-outcome linkage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Human-review and clinical-risk classifications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Audit, traceability and retention requirements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</w:rPr>
        <w:t>Provider-neutral model gateway interface</w:t>
      </w:r>
    </w:p>
    <w:p>
      <w:pPr>
        <w:spacing w:before="160" w:after="200" w:line="269" w:lineRule="auto"/>
        <w:ind w:left="173" w:right="173"/>
        <w:shd w:fill="E8F5F3"/>
      </w:pPr>
      <w:r>
        <w:rPr>
          <w:rFonts w:ascii="Calibri" w:hAnsi="Calibri"/>
          <w:b/>
          <w:color w:val="17324D"/>
          <w:sz w:val="22"/>
        </w:rPr>
        <w:t xml:space="preserve">Bottom line  </w:t>
      </w:r>
      <w:r>
        <w:rPr>
          <w:rFonts w:ascii="Calibri" w:hAnsi="Calibri"/>
          <w:color w:val="1F2937"/>
          <w:sz w:val="22"/>
        </w:rPr>
        <w:t>Architect the Intelligence Plane now. Build the governed data, event, safety, feedback and interface foundations in Phases 1–2; defer sophisticated models until real workflows, representative data and measurable outcomes are 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770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770"/>
        <w:sz w:val="17"/>
      </w:rPr>
      <w:t>HALOFLOW | INTELLIGENT LAYER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left="0" w:firstLine="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left="0" w:firstLine="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left="0" w:firstLine="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