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8"/>
          <w:szCs w:val="28"/>
        </w:rPr>
        <w:t xml:space="preserve">Halo Holdings — Track B</w:t>
      </w:r>
    </w:p>
    <w:p>
      <w:pPr>
        <w:spacing w:after="120"/>
      </w:pPr>
      <w:r>
        <w:rPr>
          <w:b/>
          <w:bCs/>
          <w:sz w:val="26"/>
          <w:szCs w:val="26"/>
        </w:rPr>
        <w:t xml:space="preserve">HaloFlow — Product Decisions, Demo Scope &amp; Development Estimate</w:t>
      </w:r>
    </w:p>
    <w:p>
      <w:pPr>
        <w:spacing w:after="60"/>
      </w:pPr>
      <w:r>
        <w:rPr>
          <w:i/>
          <w:iCs/>
          <w:sz w:val="20"/>
          <w:szCs w:val="20"/>
        </w:rPr>
        <w:t xml:space="preserve">Internal working document. Captures the decisions taken in the PMF and strategy review of 30–31 August 2026, defines the demo scope agreed there, and gives a development estimate grounded in the current state of the repository.</w:t>
      </w:r>
    </w:p>
    <w:p>
      <w:pPr>
        <w:spacing w:after="240"/>
      </w:pPr>
      <w:r>
        <w:rPr>
          <w:i/>
          <w:iCs/>
          <w:sz w:val="20"/>
          <w:szCs w:val="20"/>
        </w:rPr>
        <w:t xml:space="preserve">Version 1 — 31 August 2026. Companions: HaloFlow_Tier_UseCase_Roadmap_v4.docx and HaloFlow_Module_Delivery_Tracker.md.</w:t>
      </w:r>
    </w:p>
    <w:p>
      <w:pPr>
        <w:pStyle w:val="Heading1"/>
        <w:spacing w:after="140" w:before="280"/>
      </w:pPr>
      <w:r>
        <w:t xml:space="preserve">1. Decisions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E8EDF2" w:color="auto" w:val="clear"/>
            <w:tcMar>
              <w:top w:type="dxa" w:w="80"/>
              <w:left w:type="dxa" w:w="120"/>
              <w:bottom w:type="dxa" w:w="80"/>
              <w:right w:type="dxa" w:w="120"/>
            </w:tcMar>
          </w:tcPr>
          <w:p>
            <w:pPr>
              <w:spacing w:after="0"/>
            </w:pPr>
            <w:r>
              <w:rPr>
                <w:b/>
                <w:bCs/>
                <w:sz w:val="19"/>
                <w:szCs w:val="19"/>
              </w:rPr>
              <w:t xml:space="preserve">Decision</w:t>
            </w:r>
          </w:p>
        </w:tc>
        <w:tc>
          <w:tcPr>
            <w:tcW w:type="dxa" w:w="6860"/>
            <w:shd w:fill="E8EDF2" w:color="auto" w:val="clear"/>
            <w:tcMar>
              <w:top w:type="dxa" w:w="80"/>
              <w:left w:type="dxa" w:w="120"/>
              <w:bottom w:type="dxa" w:w="80"/>
              <w:right w:type="dxa" w:w="120"/>
            </w:tcMar>
          </w:tcPr>
          <w:p>
            <w:pPr>
              <w:spacing w:after="0"/>
            </w:pPr>
            <w:r>
              <w:rPr>
                <w:b/>
                <w:bCs/>
                <w:sz w:val="19"/>
                <w:szCs w:val="19"/>
              </w:rPr>
              <w:t xml:space="preserve">Detail</w:t>
            </w:r>
          </w:p>
        </w:tc>
      </w:tr>
      <w:tr>
        <w:tc>
          <w:tcPr>
            <w:tcW w:type="dxa" w:w="2500"/>
            <w:tcMar>
              <w:top w:type="dxa" w:w="80"/>
              <w:left w:type="dxa" w:w="120"/>
              <w:bottom w:type="dxa" w:w="80"/>
              <w:right w:type="dxa" w:w="120"/>
            </w:tcMar>
          </w:tcPr>
          <w:p>
            <w:pPr>
              <w:spacing w:after="0"/>
            </w:pPr>
            <w:r>
              <w:rPr>
                <w:b w:val="false"/>
                <w:bCs w:val="false"/>
                <w:sz w:val="19"/>
                <w:szCs w:val="19"/>
              </w:rPr>
              <w:t xml:space="preserve">EMR-neutral roadmap</w:t>
            </w:r>
          </w:p>
        </w:tc>
        <w:tc>
          <w:tcPr>
            <w:tcW w:type="dxa" w:w="6860"/>
            <w:tcMar>
              <w:top w:type="dxa" w:w="80"/>
              <w:left w:type="dxa" w:w="120"/>
              <w:bottom w:type="dxa" w:w="80"/>
              <w:right w:type="dxa" w:w="120"/>
            </w:tcMar>
          </w:tcPr>
          <w:p>
            <w:pPr>
              <w:spacing w:after="0"/>
            </w:pPr>
            <w:r>
              <w:rPr>
                <w:b w:val="false"/>
                <w:bCs w:val="false"/>
                <w:sz w:val="19"/>
                <w:szCs w:val="19"/>
              </w:rPr>
              <w:t xml:space="preserve">All references to a named EMR were removed from the roadmap in v4. The product targets EMRs common among independently owned clinics. See §2 on the relationship between this and the athenahealth adapter already in the codebase.</w:t>
            </w:r>
          </w:p>
        </w:tc>
      </w:tr>
      <w:tr>
        <w:tc>
          <w:tcPr>
            <w:tcW w:type="dxa" w:w="2500"/>
            <w:tcMar>
              <w:top w:type="dxa" w:w="80"/>
              <w:left w:type="dxa" w:w="120"/>
              <w:bottom w:type="dxa" w:w="80"/>
              <w:right w:type="dxa" w:w="120"/>
            </w:tcMar>
          </w:tcPr>
          <w:p>
            <w:pPr>
              <w:spacing w:after="0"/>
            </w:pPr>
            <w:r>
              <w:rPr>
                <w:b w:val="false"/>
                <w:bCs w:val="false"/>
                <w:sz w:val="19"/>
                <w:szCs w:val="19"/>
              </w:rPr>
              <w:t xml:space="preserve">The bundle is the value proposition</w:t>
            </w:r>
          </w:p>
        </w:tc>
        <w:tc>
          <w:tcPr>
            <w:tcW w:type="dxa" w:w="6860"/>
            <w:tcMar>
              <w:top w:type="dxa" w:w="80"/>
              <w:left w:type="dxa" w:w="120"/>
              <w:bottom w:type="dxa" w:w="80"/>
              <w:right w:type="dxa" w:w="120"/>
            </w:tcMar>
          </w:tcPr>
          <w:p>
            <w:pPr>
              <w:spacing w:after="0"/>
            </w:pPr>
            <w:r>
              <w:rPr>
                <w:b w:val="false"/>
                <w:bCs w:val="false"/>
                <w:sz w:val="19"/>
                <w:szCs w:val="19"/>
              </w:rPr>
              <w:t xml:space="preserve">Value comes from connecting the workflow end to end, not from any single feature. Overlap with what competitors already sell is accepted; the differentiation is assembly and operation. A partial solution is worth materially less than half of a complete one, so the target is the complete Phase 1 set rather than a single wedge.</w:t>
            </w:r>
          </w:p>
        </w:tc>
      </w:tr>
      <w:tr>
        <w:tc>
          <w:tcPr>
            <w:tcW w:type="dxa" w:w="2500"/>
            <w:tcMar>
              <w:top w:type="dxa" w:w="80"/>
              <w:left w:type="dxa" w:w="120"/>
              <w:bottom w:type="dxa" w:w="80"/>
              <w:right w:type="dxa" w:w="120"/>
            </w:tcMar>
          </w:tcPr>
          <w:p>
            <w:pPr>
              <w:spacing w:after="0"/>
            </w:pPr>
            <w:r>
              <w:rPr>
                <w:b w:val="false"/>
                <w:bCs w:val="false"/>
                <w:sz w:val="19"/>
                <w:szCs w:val="19"/>
              </w:rPr>
              <w:t xml:space="preserve">Turnkey / done-for-you delivery</w:t>
            </w:r>
          </w:p>
        </w:tc>
        <w:tc>
          <w:tcPr>
            <w:tcW w:type="dxa" w:w="6860"/>
            <w:tcMar>
              <w:top w:type="dxa" w:w="80"/>
              <w:left w:type="dxa" w:w="120"/>
              <w:bottom w:type="dxa" w:w="80"/>
              <w:right w:type="dxa" w:w="120"/>
            </w:tcMar>
          </w:tcPr>
          <w:p>
            <w:pPr>
              <w:spacing w:after="0"/>
            </w:pPr>
            <w:r>
              <w:rPr>
                <w:b w:val="false"/>
                <w:bCs w:val="false"/>
                <w:sz w:val="19"/>
                <w:szCs w:val="19"/>
              </w:rPr>
              <w:t xml:space="preserve">The clinic is assumed to have no IT support. HaloFlow performs setup, integration, configuration and support. Setup burden sits with HaloFlow, not the clinic. This is the deliberate answer to the segment being under-served.</w:t>
            </w:r>
          </w:p>
        </w:tc>
      </w:tr>
      <w:tr>
        <w:tc>
          <w:tcPr>
            <w:tcW w:type="dxa" w:w="2500"/>
            <w:tcMar>
              <w:top w:type="dxa" w:w="80"/>
              <w:left w:type="dxa" w:w="120"/>
              <w:bottom w:type="dxa" w:w="80"/>
              <w:right w:type="dxa" w:w="120"/>
            </w:tcMar>
          </w:tcPr>
          <w:p>
            <w:pPr>
              <w:spacing w:after="0"/>
            </w:pPr>
            <w:r>
              <w:rPr>
                <w:b w:val="false"/>
                <w:bCs w:val="false"/>
                <w:sz w:val="19"/>
                <w:szCs w:val="19"/>
              </w:rPr>
              <w:t xml:space="preserve">Demo the whole, deliver in sequence</w:t>
            </w:r>
          </w:p>
        </w:tc>
        <w:tc>
          <w:tcPr>
            <w:tcW w:type="dxa" w:w="6860"/>
            <w:tcMar>
              <w:top w:type="dxa" w:w="80"/>
              <w:left w:type="dxa" w:w="120"/>
              <w:bottom w:type="dxa" w:w="80"/>
              <w:right w:type="dxa" w:w="120"/>
            </w:tcMar>
          </w:tcPr>
          <w:p>
            <w:pPr>
              <w:spacing w:after="0"/>
            </w:pPr>
            <w:r>
              <w:rPr>
                <w:b w:val="false"/>
                <w:bCs w:val="false"/>
                <w:sz w:val="19"/>
                <w:szCs w:val="19"/>
              </w:rPr>
              <w:t xml:space="preserve">Clinics buy on the end state, so the demo shows the complete end-to-end workflow even where it runs on synthetic data. The build and the rollout proceed one module and one workflow at a time. Demo completeness and product completeness are deliberately decoupled.</w:t>
            </w:r>
          </w:p>
        </w:tc>
      </w:tr>
      <w:tr>
        <w:tc>
          <w:tcPr>
            <w:tcW w:type="dxa" w:w="2500"/>
            <w:tcMar>
              <w:top w:type="dxa" w:w="80"/>
              <w:left w:type="dxa" w:w="120"/>
              <w:bottom w:type="dxa" w:w="80"/>
              <w:right w:type="dxa" w:w="120"/>
            </w:tcMar>
          </w:tcPr>
          <w:p>
            <w:pPr>
              <w:spacing w:after="0"/>
            </w:pPr>
            <w:r>
              <w:rPr>
                <w:b w:val="false"/>
                <w:bCs w:val="false"/>
                <w:sz w:val="19"/>
                <w:szCs w:val="19"/>
              </w:rPr>
              <w:t xml:space="preserve">Gradual onboarding, one workflow at a time</w:t>
            </w:r>
          </w:p>
        </w:tc>
        <w:tc>
          <w:tcPr>
            <w:tcW w:type="dxa" w:w="6860"/>
            <w:tcMar>
              <w:top w:type="dxa" w:w="80"/>
              <w:left w:type="dxa" w:w="120"/>
              <w:bottom w:type="dxa" w:w="80"/>
              <w:right w:type="dxa" w:w="120"/>
            </w:tcMar>
          </w:tcPr>
          <w:p>
            <w:pPr>
              <w:spacing w:after="0"/>
            </w:pPr>
            <w:r>
              <w:rPr>
                <w:b w:val="false"/>
                <w:bCs w:val="false"/>
                <w:sz w:val="19"/>
                <w:szCs w:val="19"/>
              </w:rPr>
              <w:t xml:space="preserve">Avoids disrupting the clinic, and spreads HaloFlow’s own setup effort so no clinic needs several prerequisite tracks to complete at once. Each go-live is a trust checkpoint before the next ask.</w:t>
            </w:r>
          </w:p>
        </w:tc>
      </w:tr>
      <w:tr>
        <w:tc>
          <w:tcPr>
            <w:tcW w:type="dxa" w:w="2500"/>
            <w:tcMar>
              <w:top w:type="dxa" w:w="80"/>
              <w:left w:type="dxa" w:w="120"/>
              <w:bottom w:type="dxa" w:w="80"/>
              <w:right w:type="dxa" w:w="120"/>
            </w:tcMar>
          </w:tcPr>
          <w:p>
            <w:pPr>
              <w:spacing w:after="0"/>
            </w:pPr>
            <w:r>
              <w:rPr>
                <w:b w:val="false"/>
                <w:bCs w:val="false"/>
                <w:sz w:val="19"/>
                <w:szCs w:val="19"/>
              </w:rPr>
              <w:t xml:space="preserve">Rollout order tiebreaker at each clinic</w:t>
            </w:r>
          </w:p>
        </w:tc>
        <w:tc>
          <w:tcPr>
            <w:tcW w:type="dxa" w:w="6860"/>
            <w:tcMar>
              <w:top w:type="dxa" w:w="80"/>
              <w:left w:type="dxa" w:w="120"/>
              <w:bottom w:type="dxa" w:w="80"/>
              <w:right w:type="dxa" w:w="120"/>
            </w:tcMar>
          </w:tcPr>
          <w:p>
            <w:pPr>
              <w:spacing w:after="0"/>
            </w:pPr>
            <w:r>
              <w:rPr>
                <w:b w:val="false"/>
                <w:bCs w:val="false"/>
                <w:sz w:val="19"/>
                <w:szCs w:val="19"/>
              </w:rPr>
              <w:t xml:space="preserve">Prefer starting with the workflow whose external prerequisites are already met — for example, a clinic already on cloud fax. Fastest visible win.</w:t>
            </w:r>
          </w:p>
        </w:tc>
      </w:tr>
      <w:tr>
        <w:tc>
          <w:tcPr>
            <w:tcW w:type="dxa" w:w="2500"/>
            <w:tcMar>
              <w:top w:type="dxa" w:w="80"/>
              <w:left w:type="dxa" w:w="120"/>
              <w:bottom w:type="dxa" w:w="80"/>
              <w:right w:type="dxa" w:w="120"/>
            </w:tcMar>
          </w:tcPr>
          <w:p>
            <w:pPr>
              <w:spacing w:after="0"/>
            </w:pPr>
            <w:r>
              <w:rPr>
                <w:b w:val="false"/>
                <w:bCs w:val="false"/>
                <w:sz w:val="19"/>
                <w:szCs w:val="19"/>
              </w:rPr>
              <w:t xml:space="preserve">A recommended default order is maintained</w:t>
            </w:r>
          </w:p>
        </w:tc>
        <w:tc>
          <w:tcPr>
            <w:tcW w:type="dxa" w:w="6860"/>
            <w:tcMar>
              <w:top w:type="dxa" w:w="80"/>
              <w:left w:type="dxa" w:w="120"/>
              <w:bottom w:type="dxa" w:w="80"/>
              <w:right w:type="dxa" w:w="120"/>
            </w:tcMar>
          </w:tcPr>
          <w:p>
            <w:pPr>
              <w:spacing w:after="0"/>
            </w:pPr>
            <w:r>
              <w:rPr>
                <w:b w:val="false"/>
                <w:bCs w:val="false"/>
                <w:sz w:val="19"/>
                <w:szCs w:val="19"/>
              </w:rPr>
              <w:t xml:space="preserve">The order is agreed with each clinic, but HaloFlow recommends a standard default and deviates only for a stated reason. Rationale: per-clinic configuration drift is the main support-load risk for a small team.</w:t>
            </w:r>
          </w:p>
        </w:tc>
      </w:tr>
      <w:tr>
        <w:tc>
          <w:tcPr>
            <w:tcW w:type="dxa" w:w="2500"/>
            <w:tcMar>
              <w:top w:type="dxa" w:w="80"/>
              <w:left w:type="dxa" w:w="120"/>
              <w:bottom w:type="dxa" w:w="80"/>
              <w:right w:type="dxa" w:w="120"/>
            </w:tcMar>
          </w:tcPr>
          <w:p>
            <w:pPr>
              <w:spacing w:after="0"/>
            </w:pPr>
            <w:r>
              <w:rPr>
                <w:b w:val="false"/>
                <w:bCs w:val="false"/>
                <w:sz w:val="19"/>
                <w:szCs w:val="19"/>
              </w:rPr>
              <w:t xml:space="preserve">Human approval gates are a selling point</w:t>
            </w:r>
          </w:p>
        </w:tc>
        <w:tc>
          <w:tcPr>
            <w:tcW w:type="dxa" w:w="6860"/>
            <w:tcMar>
              <w:top w:type="dxa" w:w="80"/>
              <w:left w:type="dxa" w:w="120"/>
              <w:bottom w:type="dxa" w:w="80"/>
              <w:right w:type="dxa" w:w="120"/>
            </w:tcMar>
          </w:tcPr>
          <w:p>
            <w:pPr>
              <w:spacing w:after="0"/>
            </w:pPr>
            <w:r>
              <w:rPr>
                <w:b w:val="false"/>
                <w:bCs w:val="false"/>
                <w:sz w:val="19"/>
                <w:szCs w:val="19"/>
              </w:rPr>
              <w:t xml:space="preserve">Routine steps execute under clinic-approved rules; anything needing judgment goes to staff. Booking, refills and clinical-adjacent actions stay approval-gated. Customer materials should state this positively rather than describe the system as autonomous.</w:t>
            </w:r>
          </w:p>
        </w:tc>
      </w:tr>
      <w:tr>
        <w:tc>
          <w:tcPr>
            <w:tcW w:type="dxa" w:w="2500"/>
            <w:tcMar>
              <w:top w:type="dxa" w:w="80"/>
              <w:left w:type="dxa" w:w="120"/>
              <w:bottom w:type="dxa" w:w="80"/>
              <w:right w:type="dxa" w:w="120"/>
            </w:tcMar>
          </w:tcPr>
          <w:p>
            <w:pPr>
              <w:spacing w:after="0"/>
            </w:pPr>
            <w:r>
              <w:rPr>
                <w:b w:val="false"/>
                <w:bCs w:val="false"/>
                <w:sz w:val="19"/>
                <w:szCs w:val="19"/>
              </w:rPr>
              <w:t xml:space="preserve">Business model</w:t>
            </w:r>
          </w:p>
        </w:tc>
        <w:tc>
          <w:tcPr>
            <w:tcW w:type="dxa" w:w="6860"/>
            <w:tcMar>
              <w:top w:type="dxa" w:w="80"/>
              <w:left w:type="dxa" w:w="120"/>
              <w:bottom w:type="dxa" w:w="80"/>
              <w:right w:type="dxa" w:w="120"/>
            </w:tcMar>
          </w:tcPr>
          <w:p>
            <w:pPr>
              <w:spacing w:after="0"/>
            </w:pPr>
            <w:r>
              <w:rPr>
                <w:b w:val="false"/>
                <w:bCs w:val="false"/>
                <w:sz w:val="19"/>
                <w:szCs w:val="19"/>
              </w:rPr>
              <w:t xml:space="preserve">Bootstrapped, no outside investors sought. Slow, stable growth preferred over scale. High-touch delivery accepted as a deliberate trade, subject to the onboarding-cost measurement in §2.</w:t>
            </w:r>
          </w:p>
        </w:tc>
      </w:tr>
    </w:tbl>
    <w:p>
      <w:pPr>
        <w:pStyle w:val="Heading1"/>
        <w:spacing w:after="140" w:before="280"/>
      </w:pPr>
      <w:r>
        <w:t xml:space="preserve">2.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E8EDF2" w:color="auto" w:val="clear"/>
            <w:tcMar>
              <w:top w:type="dxa" w:w="80"/>
              <w:left w:type="dxa" w:w="120"/>
              <w:bottom w:type="dxa" w:w="80"/>
              <w:right w:type="dxa" w:w="120"/>
            </w:tcMar>
          </w:tcPr>
          <w:p>
            <w:pPr>
              <w:spacing w:after="0"/>
            </w:pPr>
            <w:r>
              <w:rPr>
                <w:b/>
                <w:bCs/>
                <w:sz w:val="19"/>
                <w:szCs w:val="19"/>
              </w:rPr>
              <w:t xml:space="preserve">Open item</w:t>
            </w:r>
          </w:p>
        </w:tc>
        <w:tc>
          <w:tcPr>
            <w:tcW w:type="dxa" w:w="6860"/>
            <w:shd w:fill="E8EDF2" w:color="auto" w:val="clear"/>
            <w:tcMar>
              <w:top w:type="dxa" w:w="80"/>
              <w:left w:type="dxa" w:w="120"/>
              <w:bottom w:type="dxa" w:w="80"/>
              <w:right w:type="dxa" w:w="120"/>
            </w:tcMar>
          </w:tcPr>
          <w:p>
            <w:pPr>
              <w:spacing w:after="0"/>
            </w:pPr>
            <w:r>
              <w:rPr>
                <w:b/>
                <w:bCs/>
                <w:sz w:val="19"/>
                <w:szCs w:val="19"/>
              </w:rPr>
              <w:t xml:space="preserve">What is needed to close it</w:t>
            </w:r>
          </w:p>
        </w:tc>
      </w:tr>
      <w:tr>
        <w:tc>
          <w:tcPr>
            <w:tcW w:type="dxa" w:w="2500"/>
            <w:tcMar>
              <w:top w:type="dxa" w:w="80"/>
              <w:left w:type="dxa" w:w="120"/>
              <w:bottom w:type="dxa" w:w="80"/>
              <w:right w:type="dxa" w:w="120"/>
            </w:tcMar>
          </w:tcPr>
          <w:p>
            <w:pPr>
              <w:spacing w:after="0"/>
            </w:pPr>
            <w:r>
              <w:rPr>
                <w:b w:val="false"/>
                <w:bCs w:val="false"/>
                <w:sz w:val="19"/>
                <w:szCs w:val="19"/>
              </w:rPr>
              <w:t xml:space="preserve">EMR selection — probably already decided in practice</w:t>
            </w:r>
          </w:p>
        </w:tc>
        <w:tc>
          <w:tcPr>
            <w:tcW w:type="dxa" w:w="6860"/>
            <w:tcMar>
              <w:top w:type="dxa" w:w="80"/>
              <w:left w:type="dxa" w:w="120"/>
              <w:bottom w:type="dxa" w:w="80"/>
              <w:right w:type="dxa" w:w="120"/>
            </w:tcMar>
          </w:tcPr>
          <w:p>
            <w:pPr>
              <w:spacing w:after="0"/>
            </w:pPr>
            <w:r>
              <w:rPr>
                <w:b w:val="false"/>
                <w:bCs w:val="false"/>
                <w:sz w:val="19"/>
                <w:szCs w:val="19"/>
              </w:rPr>
              <w:t xml:space="preserve">The roadmap is now EMR-neutral, but the codebase contains a working athenahealth adapter (src/haloflow/ehr/athenahealth.py) built on athenahealth’s proprietary REST v1 rather than FHIR, chosen for transactional write-back coverage. In effect athenahealth is the first integration target. Two things follow. First, this should be written down as a decision rather than left implicit in code. Second, it is a defensible choice: athenahealth is common among independent practices and runs a public developer programme, which fits the target segment far better than the pilot clinic’s own EMR would. What remains to confirm: production API access terms and cost, whether each customer practice requires its own approval, and realistic onboarding time per practice.</w:t>
            </w:r>
          </w:p>
        </w:tc>
      </w:tr>
      <w:tr>
        <w:tc>
          <w:tcPr>
            <w:tcW w:type="dxa" w:w="2500"/>
            <w:tcMar>
              <w:top w:type="dxa" w:w="80"/>
              <w:left w:type="dxa" w:w="120"/>
              <w:bottom w:type="dxa" w:w="80"/>
              <w:right w:type="dxa" w:w="120"/>
            </w:tcMar>
          </w:tcPr>
          <w:p>
            <w:pPr>
              <w:spacing w:after="0"/>
            </w:pPr>
            <w:r>
              <w:rPr>
                <w:b w:val="false"/>
                <w:bCs w:val="false"/>
                <w:sz w:val="19"/>
                <w:szCs w:val="19"/>
              </w:rPr>
              <w:t xml:space="preserve">Pilot clinic vs. target segment</w:t>
            </w:r>
          </w:p>
        </w:tc>
        <w:tc>
          <w:tcPr>
            <w:tcW w:type="dxa" w:w="6860"/>
            <w:tcMar>
              <w:top w:type="dxa" w:w="80"/>
              <w:left w:type="dxa" w:w="120"/>
              <w:bottom w:type="dxa" w:w="80"/>
              <w:right w:type="dxa" w:w="120"/>
            </w:tcMar>
          </w:tcPr>
          <w:p>
            <w:pPr>
              <w:spacing w:after="0"/>
            </w:pPr>
            <w:r>
              <w:rPr>
                <w:b w:val="false"/>
                <w:bCs w:val="false"/>
                <w:sz w:val="19"/>
                <w:szCs w:val="19"/>
              </w:rPr>
              <w:t xml:space="preserve">The pilot clinic and the first integration target are not the same platform. That is acceptable, but it should be a conscious choice: the pilot proves the workflows and the compliance pattern, while the first sellable integration targets the segment the business intends to serve. Decide explicitly whether the pilot clinic is a design partner for learning or the first production customer — the two imply different work.</w:t>
            </w:r>
          </w:p>
        </w:tc>
      </w:tr>
      <w:tr>
        <w:tc>
          <w:tcPr>
            <w:tcW w:type="dxa" w:w="2500"/>
            <w:tcMar>
              <w:top w:type="dxa" w:w="80"/>
              <w:left w:type="dxa" w:w="120"/>
              <w:bottom w:type="dxa" w:w="80"/>
              <w:right w:type="dxa" w:w="120"/>
            </w:tcMar>
          </w:tcPr>
          <w:p>
            <w:pPr>
              <w:spacing w:after="0"/>
            </w:pPr>
            <w:r>
              <w:rPr>
                <w:b w:val="false"/>
                <w:bCs w:val="false"/>
                <w:sz w:val="19"/>
                <w:szCs w:val="19"/>
              </w:rPr>
              <w:t xml:space="preserve">Onboarding cost vs. price</w:t>
            </w:r>
          </w:p>
        </w:tc>
        <w:tc>
          <w:tcPr>
            <w:tcW w:type="dxa" w:w="6860"/>
            <w:tcMar>
              <w:top w:type="dxa" w:w="80"/>
              <w:left w:type="dxa" w:w="120"/>
              <w:bottom w:type="dxa" w:w="80"/>
              <w:right w:type="dxa" w:w="120"/>
            </w:tcMar>
          </w:tcPr>
          <w:p>
            <w:pPr>
              <w:spacing w:after="0"/>
            </w:pPr>
            <w:r>
              <w:rPr>
                <w:b w:val="false"/>
                <w:bCs w:val="false"/>
                <w:sz w:val="19"/>
                <w:szCs w:val="19"/>
              </w:rPr>
              <w:t xml:space="preserve">Turnkey delivery puts setup labour on HaloFlow. The decisive unit-economics question is how many hours it takes to onboard one clinic and whether a tiered subscription recovers that within an acceptable number of months. Measure it on the first clinic and record it; it is not knowable in advance.</w:t>
            </w:r>
          </w:p>
        </w:tc>
      </w:tr>
      <w:tr>
        <w:tc>
          <w:tcPr>
            <w:tcW w:type="dxa" w:w="2500"/>
            <w:tcMar>
              <w:top w:type="dxa" w:w="80"/>
              <w:left w:type="dxa" w:w="120"/>
              <w:bottom w:type="dxa" w:w="80"/>
              <w:right w:type="dxa" w:w="120"/>
            </w:tcMar>
          </w:tcPr>
          <w:p>
            <w:pPr>
              <w:spacing w:after="0"/>
            </w:pPr>
            <w:r>
              <w:rPr>
                <w:b w:val="false"/>
                <w:bCs w:val="false"/>
                <w:sz w:val="19"/>
                <w:szCs w:val="19"/>
              </w:rPr>
              <w:t xml:space="preserve">Materials / roadmap consistency</w:t>
            </w:r>
          </w:p>
        </w:tc>
        <w:tc>
          <w:tcPr>
            <w:tcW w:type="dxa" w:w="6860"/>
            <w:tcMar>
              <w:top w:type="dxa" w:w="80"/>
              <w:left w:type="dxa" w:w="120"/>
              <w:bottom w:type="dxa" w:w="80"/>
              <w:right w:type="dxa" w:w="120"/>
            </w:tcMar>
          </w:tcPr>
          <w:p>
            <w:pPr>
              <w:spacing w:after="0"/>
            </w:pPr>
            <w:r>
              <w:rPr>
                <w:b w:val="false"/>
                <w:bCs w:val="false"/>
                <w:sz w:val="19"/>
                <w:szCs w:val="19"/>
              </w:rPr>
              <w:t xml:space="preserve">Client and investor materials describe steps such as "AI books and confirms" as autonomous execution. The roadmap states booking is approval-gated and never autonomous. Align the materials to the roadmap; the approval gate is a selling point to a cautious clinical buyer, not a limitation to be hidden.</w:t>
            </w:r>
          </w:p>
        </w:tc>
      </w:tr>
      <w:tr>
        <w:tc>
          <w:tcPr>
            <w:tcW w:type="dxa" w:w="2500"/>
            <w:tcMar>
              <w:top w:type="dxa" w:w="80"/>
              <w:left w:type="dxa" w:w="120"/>
              <w:bottom w:type="dxa" w:w="80"/>
              <w:right w:type="dxa" w:w="120"/>
            </w:tcMar>
          </w:tcPr>
          <w:p>
            <w:pPr>
              <w:spacing w:after="0"/>
            </w:pPr>
            <w:r>
              <w:rPr>
                <w:b w:val="false"/>
                <w:bCs w:val="false"/>
                <w:sz w:val="19"/>
                <w:szCs w:val="19"/>
              </w:rPr>
              <w:t xml:space="preserve">Materials emphasis vs. observed pain</w:t>
            </w:r>
          </w:p>
        </w:tc>
        <w:tc>
          <w:tcPr>
            <w:tcW w:type="dxa" w:w="6860"/>
            <w:tcMar>
              <w:top w:type="dxa" w:w="80"/>
              <w:left w:type="dxa" w:w="120"/>
              <w:bottom w:type="dxa" w:w="80"/>
              <w:right w:type="dxa" w:w="120"/>
            </w:tcMar>
          </w:tcPr>
          <w:p>
            <w:pPr>
              <w:spacing w:after="0"/>
            </w:pPr>
            <w:r>
              <w:rPr>
                <w:b w:val="false"/>
                <w:bCs w:val="false"/>
                <w:sz w:val="19"/>
                <w:szCs w:val="19"/>
              </w:rPr>
              <w:t xml:space="preserve">The end-to-end diagram in the deck is scheduling- and eligibility-centric. The pain observed at the pilot clinic is phone, fax and paperwork volume. Consider giving fax and records work a visible place in the primary diagram.</w:t>
            </w:r>
          </w:p>
        </w:tc>
      </w:tr>
      <w:tr>
        <w:tc>
          <w:tcPr>
            <w:tcW w:type="dxa" w:w="2500"/>
            <w:tcMar>
              <w:top w:type="dxa" w:w="80"/>
              <w:left w:type="dxa" w:w="120"/>
              <w:bottom w:type="dxa" w:w="80"/>
              <w:right w:type="dxa" w:w="120"/>
            </w:tcMar>
          </w:tcPr>
          <w:p>
            <w:pPr>
              <w:spacing w:after="0"/>
            </w:pPr>
            <w:r>
              <w:rPr>
                <w:b w:val="false"/>
                <w:bCs w:val="false"/>
                <w:sz w:val="19"/>
                <w:szCs w:val="19"/>
              </w:rPr>
              <w:t xml:space="preserve">Legacy prototype disposition</w:t>
            </w:r>
          </w:p>
        </w:tc>
        <w:tc>
          <w:tcPr>
            <w:tcW w:type="dxa" w:w="6860"/>
            <w:tcMar>
              <w:top w:type="dxa" w:w="80"/>
              <w:left w:type="dxa" w:w="120"/>
              <w:bottom w:type="dxa" w:w="80"/>
              <w:right w:type="dxa" w:w="120"/>
            </w:tcMar>
          </w:tcPr>
          <w:p>
            <w:pPr>
              <w:spacing w:after="0"/>
            </w:pPr>
            <w:r>
              <w:rPr>
                <w:b w:val="false"/>
                <w:bCs w:val="false"/>
                <w:sz w:val="19"/>
                <w:szCs w:val="19"/>
              </w:rPr>
              <w:t xml:space="preserve">src/haloflow/modules/ contains first-pass implementations of all four Phase 1 workflows against athenahealth, Notifyre and Stedi, plus a scheduler. This code predates the M01 architecture, is outside CI lint/type scope, and carries 32 known Ruff findings. Decide explicitly whether it is (a) a reference spike to be read and discarded, or (b) code to be migrated behind M01. The tracker currently implies (b). The distinction materially changes the M07–M09 estimates.</w:t>
            </w:r>
          </w:p>
        </w:tc>
      </w:tr>
    </w:tbl>
    <w:p>
      <w:pPr>
        <w:pStyle w:val="Heading1"/>
        <w:spacing w:after="140" w:before="280"/>
      </w:pPr>
      <w:r>
        <w:t xml:space="preserve">3. Demo Scope</w:t>
      </w:r>
    </w:p>
    <w:p>
      <w:pPr>
        <w:spacing w:after="120"/>
      </w:pPr>
      <w:r>
        <w:t xml:space="preserve">The demo is both the sales asset and the discovery instrument. It is shown to local clinics well before the product is deployable, and their reactions are the first independent evidence about product-market fit.</w:t>
      </w:r>
    </w:p>
    <w:p>
      <w:pPr>
        <w:pStyle w:val="Heading2"/>
        <w:spacing w:after="140" w:before="280"/>
      </w:pPr>
      <w:r>
        <w:t xml:space="preserve">3.1 Principles</w:t>
      </w:r>
    </w:p>
    <w:p>
      <w:pPr>
        <w:pStyle w:val="ListParagraph"/>
        <w:numPr>
          <w:ilvl w:val="0"/>
          <w:numId w:val="2"/>
        </w:numPr>
        <w:spacing w:after="80"/>
      </w:pPr>
      <w:r>
        <w:t xml:space="preserve">One continuous story, not four feature tours. A practice manager should recognise their own day. Separate feature demos make the viewer assemble the picture themselves — which is precisely the work HaloFlow claims to do for them.</w:t>
      </w:r>
    </w:p>
    <w:p>
      <w:pPr>
        <w:pStyle w:val="ListParagraph"/>
        <w:numPr>
          <w:ilvl w:val="0"/>
          <w:numId w:val="2"/>
        </w:numPr>
        <w:spacing w:after="80"/>
      </w:pPr>
      <w:r>
        <w:t xml:space="preserve">Show the destination, not just step one. The buying decision is made on the end state; the first workflow is only what they agree to start with.</w:t>
      </w:r>
    </w:p>
    <w:p>
      <w:pPr>
        <w:pStyle w:val="ListParagraph"/>
        <w:numPr>
          <w:ilvl w:val="0"/>
          <w:numId w:val="2"/>
        </w:numPr>
        <w:spacing w:after="80"/>
      </w:pPr>
      <w:r>
        <w:t xml:space="preserve">Synthetic data throughout. No PHI and no live integrations required. What is real and what is simulated is recorded in §3.3 and disclosed honestly if asked.</w:t>
      </w:r>
    </w:p>
    <w:p>
      <w:pPr>
        <w:pStyle w:val="ListParagraph"/>
        <w:numPr>
          <w:ilvl w:val="0"/>
          <w:numId w:val="2"/>
        </w:numPr>
        <w:spacing w:after="80"/>
      </w:pPr>
      <w:r>
        <w:t xml:space="preserve">Re-skinnable per prospect. Specialty, payer names and plausible local fax senders should be swappable so the demo does not read as built for somebody else.</w:t>
      </w:r>
    </w:p>
    <w:p>
      <w:pPr>
        <w:pStyle w:val="ListParagraph"/>
        <w:numPr>
          <w:ilvl w:val="0"/>
          <w:numId w:val="2"/>
        </w:numPr>
        <w:spacing w:after="80"/>
      </w:pPr>
      <w:r>
        <w:t xml:space="preserve">Include one deliberate failure. An ambiguous fax, or an eligibility response that does not parse, landing cleanly on a named person with full context attached. This demonstrates the safety model better than any slide and speaks to the objection a cautious owner-physician actually holds.</w:t>
      </w:r>
    </w:p>
    <w:p>
      <w:pPr>
        <w:pStyle w:val="Heading2"/>
        <w:spacing w:after="140" w:before="280"/>
      </w:pPr>
      <w:r>
        <w:t xml:space="preserve">3.2 Scenario — “a day at the clinic”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60"/>
        <w:gridCol w:w="5700"/>
      </w:tblGrid>
      <w:tr>
        <w:trPr>
          <w:tblHeader/>
        </w:trPr>
        <w:tc>
          <w:tcPr>
            <w:tcW w:type="dxa" w:w="600"/>
            <w:shd w:fill="E8EDF2" w:color="auto" w:val="clear"/>
            <w:tcMar>
              <w:top w:type="dxa" w:w="80"/>
              <w:left w:type="dxa" w:w="120"/>
              <w:bottom w:type="dxa" w:w="80"/>
              <w:right w:type="dxa" w:w="120"/>
            </w:tcMar>
          </w:tcPr>
          <w:p>
            <w:pPr>
              <w:spacing w:after="0"/>
            </w:pPr>
            <w:r>
              <w:rPr>
                <w:b/>
                <w:bCs/>
                <w:sz w:val="19"/>
                <w:szCs w:val="19"/>
              </w:rPr>
              <w:t xml:space="preserve">#</w:t>
            </w:r>
          </w:p>
        </w:tc>
        <w:tc>
          <w:tcPr>
            <w:tcW w:type="dxa" w:w="3060"/>
            <w:shd w:fill="E8EDF2" w:color="auto" w:val="clear"/>
            <w:tcMar>
              <w:top w:type="dxa" w:w="80"/>
              <w:left w:type="dxa" w:w="120"/>
              <w:bottom w:type="dxa" w:w="80"/>
              <w:right w:type="dxa" w:w="120"/>
            </w:tcMar>
          </w:tcPr>
          <w:p>
            <w:pPr>
              <w:spacing w:after="0"/>
            </w:pPr>
            <w:r>
              <w:rPr>
                <w:b/>
                <w:bCs/>
                <w:sz w:val="19"/>
                <w:szCs w:val="19"/>
              </w:rPr>
              <w:t xml:space="preserve">Beat</w:t>
            </w:r>
          </w:p>
        </w:tc>
        <w:tc>
          <w:tcPr>
            <w:tcW w:type="dxa" w:w="5700"/>
            <w:shd w:fill="E8EDF2" w:color="auto" w:val="clear"/>
            <w:tcMar>
              <w:top w:type="dxa" w:w="80"/>
              <w:left w:type="dxa" w:w="120"/>
              <w:bottom w:type="dxa" w:w="80"/>
              <w:right w:type="dxa" w:w="120"/>
            </w:tcMar>
          </w:tcPr>
          <w:p>
            <w:pPr>
              <w:spacing w:after="0"/>
            </w:pPr>
            <w:r>
              <w:rPr>
                <w:b/>
                <w:bCs/>
                <w:sz w:val="19"/>
                <w:szCs w:val="19"/>
              </w:rPr>
              <w:t xml:space="preserve">What is shown</w:t>
            </w:r>
          </w:p>
        </w:tc>
      </w:tr>
      <w:tr>
        <w:tc>
          <w:tcPr>
            <w:tcW w:type="dxa" w:w="600"/>
            <w:tcMar>
              <w:top w:type="dxa" w:w="80"/>
              <w:left w:type="dxa" w:w="120"/>
              <w:bottom w:type="dxa" w:w="80"/>
              <w:right w:type="dxa" w:w="120"/>
            </w:tcMar>
          </w:tcPr>
          <w:p>
            <w:pPr>
              <w:spacing w:after="0"/>
            </w:pPr>
            <w:r>
              <w:rPr>
                <w:b w:val="false"/>
                <w:bCs w:val="false"/>
                <w:sz w:val="19"/>
                <w:szCs w:val="19"/>
              </w:rPr>
              <w:t xml:space="preserve">1</w:t>
            </w:r>
          </w:p>
        </w:tc>
        <w:tc>
          <w:tcPr>
            <w:tcW w:type="dxa" w:w="3060"/>
            <w:tcMar>
              <w:top w:type="dxa" w:w="80"/>
              <w:left w:type="dxa" w:w="120"/>
              <w:bottom w:type="dxa" w:w="80"/>
              <w:right w:type="dxa" w:w="120"/>
            </w:tcMar>
          </w:tcPr>
          <w:p>
            <w:pPr>
              <w:spacing w:after="0"/>
            </w:pPr>
            <w:r>
              <w:rPr>
                <w:b w:val="false"/>
                <w:bCs w:val="false"/>
                <w:sz w:val="19"/>
                <w:szCs w:val="19"/>
              </w:rPr>
              <w:t xml:space="preserve">Patient request arrives</w:t>
            </w:r>
          </w:p>
        </w:tc>
        <w:tc>
          <w:tcPr>
            <w:tcW w:type="dxa" w:w="5700"/>
            <w:tcMar>
              <w:top w:type="dxa" w:w="80"/>
              <w:left w:type="dxa" w:w="120"/>
              <w:bottom w:type="dxa" w:w="80"/>
              <w:right w:type="dxa" w:w="120"/>
            </w:tcMar>
          </w:tcPr>
          <w:p>
            <w:pPr>
              <w:spacing w:after="0"/>
            </w:pPr>
            <w:r>
              <w:rPr>
                <w:b w:val="false"/>
                <w:bCs w:val="false"/>
                <w:sz w:val="19"/>
                <w:szCs w:val="19"/>
              </w:rPr>
              <w:t xml:space="preserve">An inbound request is captured; intent and required details are extracted.</w:t>
            </w:r>
          </w:p>
        </w:tc>
      </w:tr>
      <w:tr>
        <w:tc>
          <w:tcPr>
            <w:tcW w:type="dxa" w:w="600"/>
            <w:tcMar>
              <w:top w:type="dxa" w:w="80"/>
              <w:left w:type="dxa" w:w="120"/>
              <w:bottom w:type="dxa" w:w="80"/>
              <w:right w:type="dxa" w:w="120"/>
            </w:tcMar>
          </w:tcPr>
          <w:p>
            <w:pPr>
              <w:spacing w:after="0"/>
            </w:pPr>
            <w:r>
              <w:rPr>
                <w:b w:val="false"/>
                <w:bCs w:val="false"/>
                <w:sz w:val="19"/>
                <w:szCs w:val="19"/>
              </w:rPr>
              <w:t xml:space="preserve">2</w:t>
            </w:r>
          </w:p>
        </w:tc>
        <w:tc>
          <w:tcPr>
            <w:tcW w:type="dxa" w:w="3060"/>
            <w:tcMar>
              <w:top w:type="dxa" w:w="80"/>
              <w:left w:type="dxa" w:w="120"/>
              <w:bottom w:type="dxa" w:w="80"/>
              <w:right w:type="dxa" w:w="120"/>
            </w:tcMar>
          </w:tcPr>
          <w:p>
            <w:pPr>
              <w:spacing w:after="0"/>
            </w:pPr>
            <w:r>
              <w:rPr>
                <w:b w:val="false"/>
                <w:bCs w:val="false"/>
                <w:sz w:val="19"/>
                <w:szCs w:val="19"/>
              </w:rPr>
              <w:t xml:space="preserve">Coverage checked</w:t>
            </w:r>
          </w:p>
        </w:tc>
        <w:tc>
          <w:tcPr>
            <w:tcW w:type="dxa" w:w="5700"/>
            <w:tcMar>
              <w:top w:type="dxa" w:w="80"/>
              <w:left w:type="dxa" w:w="120"/>
              <w:bottom w:type="dxa" w:w="80"/>
              <w:right w:type="dxa" w:w="120"/>
            </w:tcMar>
          </w:tcPr>
          <w:p>
            <w:pPr>
              <w:spacing w:after="0"/>
            </w:pPr>
            <w:r>
              <w:rPr>
                <w:b w:val="false"/>
                <w:bCs w:val="false"/>
                <w:sz w:val="19"/>
                <w:szCs w:val="19"/>
              </w:rPr>
              <w:t xml:space="preserve">Eligibility verified against the clinic’s common plans ahead of the visit; result recorded.</w:t>
            </w:r>
          </w:p>
        </w:tc>
      </w:tr>
      <w:tr>
        <w:tc>
          <w:tcPr>
            <w:tcW w:type="dxa" w:w="600"/>
            <w:tcMar>
              <w:top w:type="dxa" w:w="80"/>
              <w:left w:type="dxa" w:w="120"/>
              <w:bottom w:type="dxa" w:w="80"/>
              <w:right w:type="dxa" w:w="120"/>
            </w:tcMar>
          </w:tcPr>
          <w:p>
            <w:pPr>
              <w:spacing w:after="0"/>
            </w:pPr>
            <w:r>
              <w:rPr>
                <w:b w:val="false"/>
                <w:bCs w:val="false"/>
                <w:sz w:val="19"/>
                <w:szCs w:val="19"/>
              </w:rPr>
              <w:t xml:space="preserve">3</w:t>
            </w:r>
          </w:p>
        </w:tc>
        <w:tc>
          <w:tcPr>
            <w:tcW w:type="dxa" w:w="3060"/>
            <w:tcMar>
              <w:top w:type="dxa" w:w="80"/>
              <w:left w:type="dxa" w:w="120"/>
              <w:bottom w:type="dxa" w:w="80"/>
              <w:right w:type="dxa" w:w="120"/>
            </w:tcMar>
          </w:tcPr>
          <w:p>
            <w:pPr>
              <w:spacing w:after="0"/>
            </w:pPr>
            <w:r>
              <w:rPr>
                <w:b w:val="false"/>
                <w:bCs w:val="false"/>
                <w:sz w:val="19"/>
                <w:szCs w:val="19"/>
              </w:rPr>
              <w:t xml:space="preserve">Appointment handled</w:t>
            </w:r>
          </w:p>
        </w:tc>
        <w:tc>
          <w:tcPr>
            <w:tcW w:type="dxa" w:w="5700"/>
            <w:tcMar>
              <w:top w:type="dxa" w:w="80"/>
              <w:left w:type="dxa" w:w="120"/>
              <w:bottom w:type="dxa" w:w="80"/>
              <w:right w:type="dxa" w:w="120"/>
            </w:tcMar>
          </w:tcPr>
          <w:p>
            <w:pPr>
              <w:spacing w:after="0"/>
            </w:pPr>
            <w:r>
              <w:rPr>
                <w:b w:val="false"/>
                <w:bCs w:val="false"/>
                <w:sz w:val="19"/>
                <w:szCs w:val="19"/>
              </w:rPr>
              <w:t xml:space="preserve">A slot is proposed under the clinic’s rules and held pending; staff approve; the patient is confirmed automatically.</w:t>
            </w:r>
          </w:p>
        </w:tc>
      </w:tr>
      <w:tr>
        <w:tc>
          <w:tcPr>
            <w:tcW w:type="dxa" w:w="600"/>
            <w:tcMar>
              <w:top w:type="dxa" w:w="80"/>
              <w:left w:type="dxa" w:w="120"/>
              <w:bottom w:type="dxa" w:w="80"/>
              <w:right w:type="dxa" w:w="120"/>
            </w:tcMar>
          </w:tcPr>
          <w:p>
            <w:pPr>
              <w:spacing w:after="0"/>
            </w:pPr>
            <w:r>
              <w:rPr>
                <w:b w:val="false"/>
                <w:bCs w:val="false"/>
                <w:sz w:val="19"/>
                <w:szCs w:val="19"/>
              </w:rPr>
              <w:t xml:space="preserve">4</w:t>
            </w:r>
          </w:p>
        </w:tc>
        <w:tc>
          <w:tcPr>
            <w:tcW w:type="dxa" w:w="3060"/>
            <w:tcMar>
              <w:top w:type="dxa" w:w="80"/>
              <w:left w:type="dxa" w:w="120"/>
              <w:bottom w:type="dxa" w:w="80"/>
              <w:right w:type="dxa" w:w="120"/>
            </w:tcMar>
          </w:tcPr>
          <w:p>
            <w:pPr>
              <w:spacing w:after="0"/>
            </w:pPr>
            <w:r>
              <w:rPr>
                <w:b w:val="false"/>
                <w:bCs w:val="false"/>
                <w:sz w:val="19"/>
                <w:szCs w:val="19"/>
              </w:rPr>
              <w:t xml:space="preserve">Reminder and confirmation</w:t>
            </w:r>
          </w:p>
        </w:tc>
        <w:tc>
          <w:tcPr>
            <w:tcW w:type="dxa" w:w="5700"/>
            <w:tcMar>
              <w:top w:type="dxa" w:w="80"/>
              <w:left w:type="dxa" w:w="120"/>
              <w:bottom w:type="dxa" w:w="80"/>
              <w:right w:type="dxa" w:w="120"/>
            </w:tcMar>
          </w:tcPr>
          <w:p>
            <w:pPr>
              <w:spacing w:after="0"/>
            </w:pPr>
            <w:r>
              <w:rPr>
                <w:b w:val="false"/>
                <w:bCs w:val="false"/>
                <w:sz w:val="19"/>
                <w:szCs w:val="19"/>
              </w:rPr>
              <w:t xml:space="preserve">A confirmation request goes out on the approved timing and channel; the reply is captured without staff involvement.</w:t>
            </w:r>
          </w:p>
        </w:tc>
      </w:tr>
      <w:tr>
        <w:tc>
          <w:tcPr>
            <w:tcW w:type="dxa" w:w="600"/>
            <w:tcMar>
              <w:top w:type="dxa" w:w="80"/>
              <w:left w:type="dxa" w:w="120"/>
              <w:bottom w:type="dxa" w:w="80"/>
              <w:right w:type="dxa" w:w="120"/>
            </w:tcMar>
          </w:tcPr>
          <w:p>
            <w:pPr>
              <w:spacing w:after="0"/>
            </w:pPr>
            <w:r>
              <w:rPr>
                <w:b w:val="false"/>
                <w:bCs w:val="false"/>
                <w:sz w:val="19"/>
                <w:szCs w:val="19"/>
              </w:rPr>
              <w:t xml:space="preserve">5</w:t>
            </w:r>
          </w:p>
        </w:tc>
        <w:tc>
          <w:tcPr>
            <w:tcW w:type="dxa" w:w="3060"/>
            <w:tcMar>
              <w:top w:type="dxa" w:w="80"/>
              <w:left w:type="dxa" w:w="120"/>
              <w:bottom w:type="dxa" w:w="80"/>
              <w:right w:type="dxa" w:w="120"/>
            </w:tcMar>
          </w:tcPr>
          <w:p>
            <w:pPr>
              <w:spacing w:after="0"/>
            </w:pPr>
            <w:r>
              <w:rPr>
                <w:b w:val="false"/>
                <w:bCs w:val="false"/>
                <w:sz w:val="19"/>
                <w:szCs w:val="19"/>
              </w:rPr>
              <w:t xml:space="preserve">Fax arrives and routes itself</w:t>
            </w:r>
          </w:p>
        </w:tc>
        <w:tc>
          <w:tcPr>
            <w:tcW w:type="dxa" w:w="5700"/>
            <w:tcMar>
              <w:top w:type="dxa" w:w="80"/>
              <w:left w:type="dxa" w:w="120"/>
              <w:bottom w:type="dxa" w:w="80"/>
              <w:right w:type="dxa" w:w="120"/>
            </w:tcMar>
          </w:tcPr>
          <w:p>
            <w:pPr>
              <w:spacing w:after="0"/>
            </w:pPr>
            <w:r>
              <w:rPr>
                <w:b w:val="false"/>
                <w:bCs w:val="false"/>
                <w:sz w:val="19"/>
                <w:szCs w:val="19"/>
              </w:rPr>
              <w:t xml:space="preserve">An inbound document is identified, associated with the right patient and queue, and delivered to the right person with the ask made explicit.</w:t>
            </w:r>
          </w:p>
        </w:tc>
      </w:tr>
      <w:tr>
        <w:tc>
          <w:tcPr>
            <w:tcW w:type="dxa" w:w="600"/>
            <w:tcMar>
              <w:top w:type="dxa" w:w="80"/>
              <w:left w:type="dxa" w:w="120"/>
              <w:bottom w:type="dxa" w:w="80"/>
              <w:right w:type="dxa" w:w="120"/>
            </w:tcMar>
          </w:tcPr>
          <w:p>
            <w:pPr>
              <w:spacing w:after="0"/>
            </w:pPr>
            <w:r>
              <w:rPr>
                <w:b w:val="false"/>
                <w:bCs w:val="false"/>
                <w:sz w:val="19"/>
                <w:szCs w:val="19"/>
              </w:rPr>
              <w:t xml:space="preserve">6</w:t>
            </w:r>
          </w:p>
        </w:tc>
        <w:tc>
          <w:tcPr>
            <w:tcW w:type="dxa" w:w="3060"/>
            <w:tcMar>
              <w:top w:type="dxa" w:w="80"/>
              <w:left w:type="dxa" w:w="120"/>
              <w:bottom w:type="dxa" w:w="80"/>
              <w:right w:type="dxa" w:w="120"/>
            </w:tcMar>
          </w:tcPr>
          <w:p>
            <w:pPr>
              <w:spacing w:after="0"/>
            </w:pPr>
            <w:r>
              <w:rPr>
                <w:b w:val="false"/>
                <w:bCs w:val="false"/>
                <w:sz w:val="19"/>
                <w:szCs w:val="19"/>
              </w:rPr>
              <w:t xml:space="preserve">Records request closes</w:t>
            </w:r>
          </w:p>
        </w:tc>
        <w:tc>
          <w:tcPr>
            <w:tcW w:type="dxa" w:w="5700"/>
            <w:tcMar>
              <w:top w:type="dxa" w:w="80"/>
              <w:left w:type="dxa" w:w="120"/>
              <w:bottom w:type="dxa" w:w="80"/>
              <w:right w:type="dxa" w:w="120"/>
            </w:tcMar>
          </w:tcPr>
          <w:p>
            <w:pPr>
              <w:spacing w:after="0"/>
            </w:pPr>
            <w:r>
              <w:rPr>
                <w:b w:val="false"/>
                <w:bCs w:val="false"/>
                <w:sz w:val="19"/>
                <w:szCs w:val="19"/>
              </w:rPr>
              <w:t xml:space="preserve">An outgoing records package with auto-filled cover sheet, sent, with delivery confirmation logged.</w:t>
            </w:r>
          </w:p>
        </w:tc>
      </w:tr>
      <w:tr>
        <w:tc>
          <w:tcPr>
            <w:tcW w:type="dxa" w:w="600"/>
            <w:tcMar>
              <w:top w:type="dxa" w:w="80"/>
              <w:left w:type="dxa" w:w="120"/>
              <w:bottom w:type="dxa" w:w="80"/>
              <w:right w:type="dxa" w:w="120"/>
            </w:tcMar>
          </w:tcPr>
          <w:p>
            <w:pPr>
              <w:spacing w:after="0"/>
            </w:pPr>
            <w:r>
              <w:rPr>
                <w:b w:val="false"/>
                <w:bCs w:val="false"/>
                <w:sz w:val="19"/>
                <w:szCs w:val="19"/>
              </w:rPr>
              <w:t xml:space="preserve">7</w:t>
            </w:r>
          </w:p>
        </w:tc>
        <w:tc>
          <w:tcPr>
            <w:tcW w:type="dxa" w:w="3060"/>
            <w:tcMar>
              <w:top w:type="dxa" w:w="80"/>
              <w:left w:type="dxa" w:w="120"/>
              <w:bottom w:type="dxa" w:w="80"/>
              <w:right w:type="dxa" w:w="120"/>
            </w:tcMar>
          </w:tcPr>
          <w:p>
            <w:pPr>
              <w:spacing w:after="0"/>
            </w:pPr>
            <w:r>
              <w:rPr>
                <w:b w:val="false"/>
                <w:bCs w:val="false"/>
                <w:sz w:val="19"/>
                <w:szCs w:val="19"/>
              </w:rPr>
              <w:t xml:space="preserve">Care gap surfaces</w:t>
            </w:r>
          </w:p>
        </w:tc>
        <w:tc>
          <w:tcPr>
            <w:tcW w:type="dxa" w:w="5700"/>
            <w:tcMar>
              <w:top w:type="dxa" w:w="80"/>
              <w:left w:type="dxa" w:w="120"/>
              <w:bottom w:type="dxa" w:w="80"/>
              <w:right w:type="dxa" w:w="120"/>
            </w:tcMar>
          </w:tcPr>
          <w:p>
            <w:pPr>
              <w:spacing w:after="0"/>
            </w:pPr>
            <w:r>
              <w:rPr>
                <w:b w:val="false"/>
                <w:bCs w:val="false"/>
                <w:sz w:val="19"/>
                <w:szCs w:val="19"/>
              </w:rPr>
              <w:t xml:space="preserve">A patient due for a preventive measure is identified and contacted.</w:t>
            </w:r>
          </w:p>
        </w:tc>
      </w:tr>
      <w:tr>
        <w:tc>
          <w:tcPr>
            <w:tcW w:type="dxa" w:w="600"/>
            <w:tcMar>
              <w:top w:type="dxa" w:w="80"/>
              <w:left w:type="dxa" w:w="120"/>
              <w:bottom w:type="dxa" w:w="80"/>
              <w:right w:type="dxa" w:w="120"/>
            </w:tcMar>
          </w:tcPr>
          <w:p>
            <w:pPr>
              <w:spacing w:after="0"/>
            </w:pPr>
            <w:r>
              <w:rPr>
                <w:b w:val="false"/>
                <w:bCs w:val="false"/>
                <w:sz w:val="19"/>
                <w:szCs w:val="19"/>
              </w:rPr>
              <w:t xml:space="preserve">8</w:t>
            </w:r>
          </w:p>
        </w:tc>
        <w:tc>
          <w:tcPr>
            <w:tcW w:type="dxa" w:w="3060"/>
            <w:tcMar>
              <w:top w:type="dxa" w:w="80"/>
              <w:left w:type="dxa" w:w="120"/>
              <w:bottom w:type="dxa" w:w="80"/>
              <w:right w:type="dxa" w:w="120"/>
            </w:tcMar>
          </w:tcPr>
          <w:p>
            <w:pPr>
              <w:spacing w:after="0"/>
            </w:pPr>
            <w:r>
              <w:rPr>
                <w:b w:val="false"/>
                <w:bCs w:val="false"/>
                <w:sz w:val="19"/>
                <w:szCs w:val="19"/>
              </w:rPr>
              <w:t xml:space="preserve">Exception lands on staff</w:t>
            </w:r>
          </w:p>
        </w:tc>
        <w:tc>
          <w:tcPr>
            <w:tcW w:type="dxa" w:w="5700"/>
            <w:tcMar>
              <w:top w:type="dxa" w:w="80"/>
              <w:left w:type="dxa" w:w="120"/>
              <w:bottom w:type="dxa" w:w="80"/>
              <w:right w:type="dxa" w:w="120"/>
            </w:tcMar>
          </w:tcPr>
          <w:p>
            <w:pPr>
              <w:spacing w:after="0"/>
            </w:pPr>
            <w:r>
              <w:rPr>
                <w:b w:val="false"/>
                <w:bCs w:val="false"/>
                <w:sz w:val="19"/>
                <w:szCs w:val="19"/>
              </w:rPr>
              <w:t xml:space="preserve">The deliberate failure case. An item the system will not decide is escalated to a named person with the source document and context attached — visible, never suppressed.</w:t>
            </w:r>
          </w:p>
        </w:tc>
      </w:tr>
      <w:tr>
        <w:tc>
          <w:tcPr>
            <w:tcW w:type="dxa" w:w="600"/>
            <w:tcMar>
              <w:top w:type="dxa" w:w="80"/>
              <w:left w:type="dxa" w:w="120"/>
              <w:bottom w:type="dxa" w:w="80"/>
              <w:right w:type="dxa" w:w="120"/>
            </w:tcMar>
          </w:tcPr>
          <w:p>
            <w:pPr>
              <w:spacing w:after="0"/>
            </w:pPr>
            <w:r>
              <w:rPr>
                <w:b w:val="false"/>
                <w:bCs w:val="false"/>
                <w:sz w:val="19"/>
                <w:szCs w:val="19"/>
              </w:rPr>
              <w:t xml:space="preserve">9</w:t>
            </w:r>
          </w:p>
        </w:tc>
        <w:tc>
          <w:tcPr>
            <w:tcW w:type="dxa" w:w="3060"/>
            <w:tcMar>
              <w:top w:type="dxa" w:w="80"/>
              <w:left w:type="dxa" w:w="120"/>
              <w:bottom w:type="dxa" w:w="80"/>
              <w:right w:type="dxa" w:w="120"/>
            </w:tcMar>
          </w:tcPr>
          <w:p>
            <w:pPr>
              <w:spacing w:after="0"/>
            </w:pPr>
            <w:r>
              <w:rPr>
                <w:b w:val="false"/>
                <w:bCs w:val="false"/>
                <w:sz w:val="19"/>
                <w:szCs w:val="19"/>
              </w:rPr>
              <w:t xml:space="preserve">Outcome recorded</w:t>
            </w:r>
          </w:p>
        </w:tc>
        <w:tc>
          <w:tcPr>
            <w:tcW w:type="dxa" w:w="5700"/>
            <w:tcMar>
              <w:top w:type="dxa" w:w="80"/>
              <w:left w:type="dxa" w:w="120"/>
              <w:bottom w:type="dxa" w:w="80"/>
              <w:right w:type="dxa" w:w="120"/>
            </w:tcMar>
          </w:tcPr>
          <w:p>
            <w:pPr>
              <w:spacing w:after="0"/>
            </w:pPr>
            <w:r>
              <w:rPr>
                <w:b w:val="false"/>
                <w:bCs w:val="false"/>
                <w:sz w:val="19"/>
                <w:szCs w:val="19"/>
              </w:rPr>
              <w:t xml:space="preserve">Status and audit trail for everything above.</w:t>
            </w:r>
          </w:p>
        </w:tc>
      </w:tr>
    </w:tbl>
    <w:p>
      <w:pPr>
        <w:pStyle w:val="Heading2"/>
        <w:spacing w:after="140" w:before="280"/>
      </w:pPr>
      <w:r>
        <w:t xml:space="preserve">3.3 Real versus simulated in 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4160"/>
      </w:tblGrid>
      <w:tr>
        <w:trPr>
          <w:tblHeader/>
        </w:trPr>
        <w:tc>
          <w:tcPr>
            <w:tcW w:type="dxa" w:w="3100"/>
            <w:shd w:fill="E8EDF2" w:color="auto" w:val="clear"/>
            <w:tcMar>
              <w:top w:type="dxa" w:w="80"/>
              <w:left w:type="dxa" w:w="120"/>
              <w:bottom w:type="dxa" w:w="80"/>
              <w:right w:type="dxa" w:w="120"/>
            </w:tcMar>
          </w:tcPr>
          <w:p>
            <w:pPr>
              <w:spacing w:after="0"/>
            </w:pPr>
            <w:r>
              <w:rPr>
                <w:b/>
                <w:bCs/>
                <w:sz w:val="19"/>
                <w:szCs w:val="19"/>
              </w:rPr>
              <w:t xml:space="preserve">Component</w:t>
            </w:r>
          </w:p>
        </w:tc>
        <w:tc>
          <w:tcPr>
            <w:tcW w:type="dxa" w:w="2100"/>
            <w:shd w:fill="E8EDF2" w:color="auto" w:val="clear"/>
            <w:tcMar>
              <w:top w:type="dxa" w:w="80"/>
              <w:left w:type="dxa" w:w="120"/>
              <w:bottom w:type="dxa" w:w="80"/>
              <w:right w:type="dxa" w:w="120"/>
            </w:tcMar>
          </w:tcPr>
          <w:p>
            <w:pPr>
              <w:spacing w:after="0"/>
            </w:pPr>
            <w:r>
              <w:rPr>
                <w:b/>
                <w:bCs/>
                <w:sz w:val="19"/>
                <w:szCs w:val="19"/>
              </w:rPr>
              <w:t xml:space="preserve">Demo state</w:t>
            </w:r>
          </w:p>
        </w:tc>
        <w:tc>
          <w:tcPr>
            <w:tcW w:type="dxa" w:w="4160"/>
            <w:shd w:fill="E8EDF2" w:color="auto" w:val="clear"/>
            <w:tcMar>
              <w:top w:type="dxa" w:w="80"/>
              <w:left w:type="dxa" w:w="120"/>
              <w:bottom w:type="dxa" w:w="80"/>
              <w:right w:type="dxa" w:w="120"/>
            </w:tcMar>
          </w:tcPr>
          <w:p>
            <w:pPr>
              <w:spacing w:after="0"/>
            </w:pPr>
            <w:r>
              <w:rPr>
                <w:b/>
                <w:bCs/>
                <w:sz w:val="19"/>
                <w:szCs w:val="19"/>
              </w:rPr>
              <w:t xml:space="preserve">Note</w:t>
            </w:r>
          </w:p>
        </w:tc>
      </w:tr>
      <w:tr>
        <w:tc>
          <w:tcPr>
            <w:tcW w:type="dxa" w:w="3100"/>
            <w:tcMar>
              <w:top w:type="dxa" w:w="80"/>
              <w:left w:type="dxa" w:w="120"/>
              <w:bottom w:type="dxa" w:w="80"/>
              <w:right w:type="dxa" w:w="120"/>
            </w:tcMar>
          </w:tcPr>
          <w:p>
            <w:pPr>
              <w:spacing w:after="0"/>
            </w:pPr>
            <w:r>
              <w:rPr>
                <w:b w:val="false"/>
                <w:bCs w:val="false"/>
                <w:sz w:val="19"/>
                <w:szCs w:val="19"/>
              </w:rPr>
              <w:t xml:space="preserve">Document understanding / intent extraction</w:t>
            </w:r>
          </w:p>
        </w:tc>
        <w:tc>
          <w:tcPr>
            <w:tcW w:type="dxa" w:w="2100"/>
            <w:tcMar>
              <w:top w:type="dxa" w:w="80"/>
              <w:left w:type="dxa" w:w="120"/>
              <w:bottom w:type="dxa" w:w="80"/>
              <w:right w:type="dxa" w:w="120"/>
            </w:tcMar>
          </w:tcPr>
          <w:p>
            <w:pPr>
              <w:spacing w:after="0"/>
            </w:pPr>
            <w:r>
              <w:rPr>
                <w:b w:val="false"/>
                <w:bCs w:val="false"/>
                <w:sz w:val="19"/>
                <w:szCs w:val="19"/>
              </w:rPr>
              <w:t xml:space="preserve">Real</w:t>
            </w:r>
          </w:p>
        </w:tc>
        <w:tc>
          <w:tcPr>
            <w:tcW w:type="dxa" w:w="4160"/>
            <w:tcMar>
              <w:top w:type="dxa" w:w="80"/>
              <w:left w:type="dxa" w:w="120"/>
              <w:bottom w:type="dxa" w:w="80"/>
              <w:right w:type="dxa" w:w="120"/>
            </w:tcMar>
          </w:tcPr>
          <w:p>
            <w:pPr>
              <w:spacing w:after="0"/>
            </w:pPr>
            <w:r>
              <w:rPr>
                <w:b w:val="false"/>
                <w:bCs w:val="false"/>
                <w:sz w:val="19"/>
                <w:szCs w:val="19"/>
              </w:rPr>
              <w:t xml:space="preserve">Runs on synthetic documents. The capability most worth showing genuinely.</w:t>
            </w:r>
          </w:p>
        </w:tc>
      </w:tr>
      <w:tr>
        <w:tc>
          <w:tcPr>
            <w:tcW w:type="dxa" w:w="3100"/>
            <w:tcMar>
              <w:top w:type="dxa" w:w="80"/>
              <w:left w:type="dxa" w:w="120"/>
              <w:bottom w:type="dxa" w:w="80"/>
              <w:right w:type="dxa" w:w="120"/>
            </w:tcMar>
          </w:tcPr>
          <w:p>
            <w:pPr>
              <w:spacing w:after="0"/>
            </w:pPr>
            <w:r>
              <w:rPr>
                <w:b w:val="false"/>
                <w:bCs w:val="false"/>
                <w:sz w:val="19"/>
                <w:szCs w:val="19"/>
              </w:rPr>
              <w:t xml:space="preserve">Rules engine and approval gates</w:t>
            </w:r>
          </w:p>
        </w:tc>
        <w:tc>
          <w:tcPr>
            <w:tcW w:type="dxa" w:w="2100"/>
            <w:tcMar>
              <w:top w:type="dxa" w:w="80"/>
              <w:left w:type="dxa" w:w="120"/>
              <w:bottom w:type="dxa" w:w="80"/>
              <w:right w:type="dxa" w:w="120"/>
            </w:tcMar>
          </w:tcPr>
          <w:p>
            <w:pPr>
              <w:spacing w:after="0"/>
            </w:pPr>
            <w:r>
              <w:rPr>
                <w:b w:val="false"/>
                <w:bCs w:val="false"/>
                <w:sz w:val="19"/>
                <w:szCs w:val="19"/>
              </w:rPr>
              <w:t xml:space="preserve">Real</w:t>
            </w:r>
          </w:p>
        </w:tc>
        <w:tc>
          <w:tcPr>
            <w:tcW w:type="dxa" w:w="4160"/>
            <w:tcMar>
              <w:top w:type="dxa" w:w="80"/>
              <w:left w:type="dxa" w:w="120"/>
              <w:bottom w:type="dxa" w:w="80"/>
              <w:right w:type="dxa" w:w="120"/>
            </w:tcMar>
          </w:tcPr>
          <w:p>
            <w:pPr>
              <w:spacing w:after="0"/>
            </w:pPr>
            <w:r>
              <w:rPr>
                <w:b w:val="false"/>
                <w:bCs w:val="false"/>
                <w:sz w:val="19"/>
                <w:szCs w:val="19"/>
              </w:rPr>
              <w:t xml:space="preserve">Core of the product story; should behave as it will in production.</w:t>
            </w:r>
          </w:p>
        </w:tc>
      </w:tr>
      <w:tr>
        <w:tc>
          <w:tcPr>
            <w:tcW w:type="dxa" w:w="3100"/>
            <w:tcMar>
              <w:top w:type="dxa" w:w="80"/>
              <w:left w:type="dxa" w:w="120"/>
              <w:bottom w:type="dxa" w:w="80"/>
              <w:right w:type="dxa" w:w="120"/>
            </w:tcMar>
          </w:tcPr>
          <w:p>
            <w:pPr>
              <w:spacing w:after="0"/>
            </w:pPr>
            <w:r>
              <w:rPr>
                <w:b w:val="false"/>
                <w:bCs w:val="false"/>
                <w:sz w:val="19"/>
                <w:szCs w:val="19"/>
              </w:rPr>
              <w:t xml:space="preserve">Queue / staff review interface</w:t>
            </w:r>
          </w:p>
        </w:tc>
        <w:tc>
          <w:tcPr>
            <w:tcW w:type="dxa" w:w="2100"/>
            <w:tcMar>
              <w:top w:type="dxa" w:w="80"/>
              <w:left w:type="dxa" w:w="120"/>
              <w:bottom w:type="dxa" w:w="80"/>
              <w:right w:type="dxa" w:w="120"/>
            </w:tcMar>
          </w:tcPr>
          <w:p>
            <w:pPr>
              <w:spacing w:after="0"/>
            </w:pPr>
            <w:r>
              <w:rPr>
                <w:b w:val="false"/>
                <w:bCs w:val="false"/>
                <w:sz w:val="19"/>
                <w:szCs w:val="19"/>
              </w:rPr>
              <w:t xml:space="preserve">Real</w:t>
            </w:r>
          </w:p>
        </w:tc>
        <w:tc>
          <w:tcPr>
            <w:tcW w:type="dxa" w:w="4160"/>
            <w:tcMar>
              <w:top w:type="dxa" w:w="80"/>
              <w:left w:type="dxa" w:w="120"/>
              <w:bottom w:type="dxa" w:w="80"/>
              <w:right w:type="dxa" w:w="120"/>
            </w:tcMar>
          </w:tcPr>
          <w:p>
            <w:pPr>
              <w:spacing w:after="0"/>
            </w:pPr>
            <w:r>
              <w:rPr>
                <w:b w:val="false"/>
                <w:bCs w:val="false"/>
                <w:sz w:val="19"/>
                <w:szCs w:val="19"/>
              </w:rPr>
              <w:t xml:space="preserve">The surface staff will actually use.</w:t>
            </w:r>
          </w:p>
        </w:tc>
      </w:tr>
      <w:tr>
        <w:tc>
          <w:tcPr>
            <w:tcW w:type="dxa" w:w="3100"/>
            <w:tcMar>
              <w:top w:type="dxa" w:w="80"/>
              <w:left w:type="dxa" w:w="120"/>
              <w:bottom w:type="dxa" w:w="80"/>
              <w:right w:type="dxa" w:w="120"/>
            </w:tcMar>
          </w:tcPr>
          <w:p>
            <w:pPr>
              <w:spacing w:after="0"/>
            </w:pPr>
            <w:r>
              <w:rPr>
                <w:b w:val="false"/>
                <w:bCs w:val="false"/>
                <w:sz w:val="19"/>
                <w:szCs w:val="19"/>
              </w:rPr>
              <w:t xml:space="preserve">EMR read and write-back</w:t>
            </w:r>
          </w:p>
        </w:tc>
        <w:tc>
          <w:tcPr>
            <w:tcW w:type="dxa" w:w="2100"/>
            <w:tcMar>
              <w:top w:type="dxa" w:w="80"/>
              <w:left w:type="dxa" w:w="120"/>
              <w:bottom w:type="dxa" w:w="80"/>
              <w:right w:type="dxa" w:w="120"/>
            </w:tcMar>
          </w:tcPr>
          <w:p>
            <w:pPr>
              <w:spacing w:after="0"/>
            </w:pPr>
            <w:r>
              <w:rPr>
                <w:b w:val="false"/>
                <w:bCs w:val="false"/>
                <w:sz w:val="19"/>
                <w:szCs w:val="19"/>
              </w:rPr>
              <w:t xml:space="preserve">Simulated</w:t>
            </w:r>
          </w:p>
        </w:tc>
        <w:tc>
          <w:tcPr>
            <w:tcW w:type="dxa" w:w="4160"/>
            <w:tcMar>
              <w:top w:type="dxa" w:w="80"/>
              <w:left w:type="dxa" w:w="120"/>
              <w:bottom w:type="dxa" w:w="80"/>
              <w:right w:type="dxa" w:w="120"/>
            </w:tcMar>
          </w:tcPr>
          <w:p>
            <w:pPr>
              <w:spacing w:after="0"/>
            </w:pPr>
            <w:r>
              <w:rPr>
                <w:b w:val="false"/>
                <w:bCs w:val="false"/>
                <w:sz w:val="19"/>
                <w:szCs w:val="19"/>
              </w:rPr>
              <w:t xml:space="preserve">Mock adapter over synthetic records, so the demo is not blocked on production API access.</w:t>
            </w:r>
          </w:p>
        </w:tc>
      </w:tr>
      <w:tr>
        <w:tc>
          <w:tcPr>
            <w:tcW w:type="dxa" w:w="3100"/>
            <w:tcMar>
              <w:top w:type="dxa" w:w="80"/>
              <w:left w:type="dxa" w:w="120"/>
              <w:bottom w:type="dxa" w:w="80"/>
              <w:right w:type="dxa" w:w="120"/>
            </w:tcMar>
          </w:tcPr>
          <w:p>
            <w:pPr>
              <w:spacing w:after="0"/>
            </w:pPr>
            <w:r>
              <w:rPr>
                <w:b w:val="false"/>
                <w:bCs w:val="false"/>
                <w:sz w:val="19"/>
                <w:szCs w:val="19"/>
              </w:rPr>
              <w:t xml:space="preserve">Eligibility (clearinghouse)</w:t>
            </w:r>
          </w:p>
        </w:tc>
        <w:tc>
          <w:tcPr>
            <w:tcW w:type="dxa" w:w="2100"/>
            <w:tcMar>
              <w:top w:type="dxa" w:w="80"/>
              <w:left w:type="dxa" w:w="120"/>
              <w:bottom w:type="dxa" w:w="80"/>
              <w:right w:type="dxa" w:w="120"/>
            </w:tcMar>
          </w:tcPr>
          <w:p>
            <w:pPr>
              <w:spacing w:after="0"/>
            </w:pPr>
            <w:r>
              <w:rPr>
                <w:b w:val="false"/>
                <w:bCs w:val="false"/>
                <w:sz w:val="19"/>
                <w:szCs w:val="19"/>
              </w:rPr>
              <w:t xml:space="preserve">Simulated</w:t>
            </w:r>
          </w:p>
        </w:tc>
        <w:tc>
          <w:tcPr>
            <w:tcW w:type="dxa" w:w="4160"/>
            <w:tcMar>
              <w:top w:type="dxa" w:w="80"/>
              <w:left w:type="dxa" w:w="120"/>
              <w:bottom w:type="dxa" w:w="80"/>
              <w:right w:type="dxa" w:w="120"/>
            </w:tcMar>
          </w:tcPr>
          <w:p>
            <w:pPr>
              <w:spacing w:after="0"/>
            </w:pPr>
            <w:r>
              <w:rPr>
                <w:b w:val="false"/>
                <w:bCs w:val="false"/>
                <w:sz w:val="19"/>
                <w:szCs w:val="19"/>
              </w:rPr>
              <w:t xml:space="preserve">Canned payer responses, including one that fails to parse.</w:t>
            </w:r>
          </w:p>
        </w:tc>
      </w:tr>
      <w:tr>
        <w:tc>
          <w:tcPr>
            <w:tcW w:type="dxa" w:w="3100"/>
            <w:tcMar>
              <w:top w:type="dxa" w:w="80"/>
              <w:left w:type="dxa" w:w="120"/>
              <w:bottom w:type="dxa" w:w="80"/>
              <w:right w:type="dxa" w:w="120"/>
            </w:tcMar>
          </w:tcPr>
          <w:p>
            <w:pPr>
              <w:spacing w:after="0"/>
            </w:pPr>
            <w:r>
              <w:rPr>
                <w:b w:val="false"/>
                <w:bCs w:val="false"/>
                <w:sz w:val="19"/>
                <w:szCs w:val="19"/>
              </w:rPr>
              <w:t xml:space="preserve">Fax send / receive</w:t>
            </w:r>
          </w:p>
        </w:tc>
        <w:tc>
          <w:tcPr>
            <w:tcW w:type="dxa" w:w="2100"/>
            <w:tcMar>
              <w:top w:type="dxa" w:w="80"/>
              <w:left w:type="dxa" w:w="120"/>
              <w:bottom w:type="dxa" w:w="80"/>
              <w:right w:type="dxa" w:w="120"/>
            </w:tcMar>
          </w:tcPr>
          <w:p>
            <w:pPr>
              <w:spacing w:after="0"/>
            </w:pPr>
            <w:r>
              <w:rPr>
                <w:b w:val="false"/>
                <w:bCs w:val="false"/>
                <w:sz w:val="19"/>
                <w:szCs w:val="19"/>
              </w:rPr>
              <w:t xml:space="preserve">Simulated</w:t>
            </w:r>
          </w:p>
        </w:tc>
        <w:tc>
          <w:tcPr>
            <w:tcW w:type="dxa" w:w="4160"/>
            <w:tcMar>
              <w:top w:type="dxa" w:w="80"/>
              <w:left w:type="dxa" w:w="120"/>
              <w:bottom w:type="dxa" w:w="80"/>
              <w:right w:type="dxa" w:w="120"/>
            </w:tcMar>
          </w:tcPr>
          <w:p>
            <w:pPr>
              <w:spacing w:after="0"/>
            </w:pPr>
            <w:r>
              <w:rPr>
                <w:b w:val="false"/>
                <w:bCs w:val="false"/>
                <w:sz w:val="19"/>
                <w:szCs w:val="19"/>
              </w:rPr>
              <w:t xml:space="preserve">Pre-loaded inbound documents; outbound rendered but not transmitted.</w:t>
            </w:r>
          </w:p>
        </w:tc>
      </w:tr>
      <w:tr>
        <w:tc>
          <w:tcPr>
            <w:tcW w:type="dxa" w:w="3100"/>
            <w:tcMar>
              <w:top w:type="dxa" w:w="80"/>
              <w:left w:type="dxa" w:w="120"/>
              <w:bottom w:type="dxa" w:w="80"/>
              <w:right w:type="dxa" w:w="120"/>
            </w:tcMar>
          </w:tcPr>
          <w:p>
            <w:pPr>
              <w:spacing w:after="0"/>
            </w:pPr>
            <w:r>
              <w:rPr>
                <w:b w:val="false"/>
                <w:bCs w:val="false"/>
                <w:sz w:val="19"/>
                <w:szCs w:val="19"/>
              </w:rPr>
              <w:t xml:space="preserve">SMS delivery</w:t>
            </w:r>
          </w:p>
        </w:tc>
        <w:tc>
          <w:tcPr>
            <w:tcW w:type="dxa" w:w="2100"/>
            <w:tcMar>
              <w:top w:type="dxa" w:w="80"/>
              <w:left w:type="dxa" w:w="120"/>
              <w:bottom w:type="dxa" w:w="80"/>
              <w:right w:type="dxa" w:w="120"/>
            </w:tcMar>
          </w:tcPr>
          <w:p>
            <w:pPr>
              <w:spacing w:after="0"/>
            </w:pPr>
            <w:r>
              <w:rPr>
                <w:b w:val="false"/>
                <w:bCs w:val="false"/>
                <w:sz w:val="19"/>
                <w:szCs w:val="19"/>
              </w:rPr>
              <w:t xml:space="preserve">Simulated</w:t>
            </w:r>
          </w:p>
        </w:tc>
        <w:tc>
          <w:tcPr>
            <w:tcW w:type="dxa" w:w="4160"/>
            <w:tcMar>
              <w:top w:type="dxa" w:w="80"/>
              <w:left w:type="dxa" w:w="120"/>
              <w:bottom w:type="dxa" w:w="80"/>
              <w:right w:type="dxa" w:w="120"/>
            </w:tcMar>
          </w:tcPr>
          <w:p>
            <w:pPr>
              <w:spacing w:after="0"/>
            </w:pPr>
            <w:r>
              <w:rPr>
                <w:b w:val="false"/>
                <w:bCs w:val="false"/>
                <w:sz w:val="19"/>
                <w:szCs w:val="19"/>
              </w:rPr>
              <w:t xml:space="preserve">Rendered message threads; no live sending, so no messaging registration is needed for the demo.</w:t>
            </w:r>
          </w:p>
        </w:tc>
      </w:tr>
      <w:tr>
        <w:tc>
          <w:tcPr>
            <w:tcW w:type="dxa" w:w="3100"/>
            <w:tcMar>
              <w:top w:type="dxa" w:w="80"/>
              <w:left w:type="dxa" w:w="120"/>
              <w:bottom w:type="dxa" w:w="80"/>
              <w:right w:type="dxa" w:w="120"/>
            </w:tcMar>
          </w:tcPr>
          <w:p>
            <w:pPr>
              <w:spacing w:after="0"/>
            </w:pPr>
            <w:r>
              <w:rPr>
                <w:b w:val="false"/>
                <w:bCs w:val="false"/>
                <w:sz w:val="19"/>
                <w:szCs w:val="19"/>
              </w:rPr>
              <w:t xml:space="preserve">Voice</w:t>
            </w:r>
          </w:p>
        </w:tc>
        <w:tc>
          <w:tcPr>
            <w:tcW w:type="dxa" w:w="2100"/>
            <w:tcMar>
              <w:top w:type="dxa" w:w="80"/>
              <w:left w:type="dxa" w:w="120"/>
              <w:bottom w:type="dxa" w:w="80"/>
              <w:right w:type="dxa" w:w="120"/>
            </w:tcMar>
          </w:tcPr>
          <w:p>
            <w:pPr>
              <w:spacing w:after="0"/>
            </w:pPr>
            <w:r>
              <w:rPr>
                <w:b w:val="false"/>
                <w:bCs w:val="false"/>
                <w:sz w:val="19"/>
                <w:szCs w:val="19"/>
              </w:rPr>
              <w:t xml:space="preserve">Out of scope</w:t>
            </w:r>
          </w:p>
        </w:tc>
        <w:tc>
          <w:tcPr>
            <w:tcW w:type="dxa" w:w="4160"/>
            <w:tcMar>
              <w:top w:type="dxa" w:w="80"/>
              <w:left w:type="dxa" w:w="120"/>
              <w:bottom w:type="dxa" w:w="80"/>
              <w:right w:type="dxa" w:w="120"/>
            </w:tcMar>
          </w:tcPr>
          <w:p>
            <w:pPr>
              <w:spacing w:after="0"/>
            </w:pPr>
            <w:r>
              <w:rPr>
                <w:b w:val="false"/>
                <w:bCs w:val="false"/>
                <w:sz w:val="19"/>
                <w:szCs w:val="19"/>
              </w:rPr>
              <w:t xml:space="preserve">Tier 3. May appear as a transcript if useful, but is not built for this milestone.</w:t>
            </w:r>
          </w:p>
        </w:tc>
      </w:tr>
    </w:tbl>
    <w:p>
      <w:pPr>
        <w:pStyle w:val="Heading2"/>
        <w:spacing w:after="140" w:before="280"/>
      </w:pPr>
      <w:r>
        <w:t xml:space="preserve">3.4 What to observe in the room</w:t>
      </w:r>
    </w:p>
    <w:p>
      <w:pPr>
        <w:pStyle w:val="ListParagraph"/>
        <w:numPr>
          <w:ilvl w:val="0"/>
          <w:numId w:val="2"/>
        </w:numPr>
        <w:spacing w:after="80"/>
      </w:pPr>
      <w:r>
        <w:t xml:space="preserve">Which beat produces the strongest reaction — that is the workflow to start with at that clinic.</w:t>
      </w:r>
    </w:p>
    <w:p>
      <w:pPr>
        <w:pStyle w:val="ListParagraph"/>
        <w:numPr>
          <w:ilvl w:val="0"/>
          <w:numId w:val="2"/>
        </w:numPr>
        <w:spacing w:after="80"/>
      </w:pPr>
      <w:r>
        <w:t xml:space="preserve">Whether they describe their current process unprompted, and in what detail.</w:t>
      </w:r>
    </w:p>
    <w:p>
      <w:pPr>
        <w:pStyle w:val="ListParagraph"/>
        <w:numPr>
          <w:ilvl w:val="0"/>
          <w:numId w:val="2"/>
        </w:numPr>
        <w:spacing w:after="80"/>
      </w:pPr>
      <w:r>
        <w:t xml:space="preserve">What they say about the exception case. Trust in escalation is the gating concern for a clinical buyer.</w:t>
      </w:r>
    </w:p>
    <w:p>
      <w:pPr>
        <w:pStyle w:val="ListParagraph"/>
        <w:numPr>
          <w:ilvl w:val="0"/>
          <w:numId w:val="2"/>
        </w:numPr>
        <w:spacing w:after="80"/>
      </w:pPr>
      <w:r>
        <w:t xml:space="preserve">Whether they name their EMR, and what they already believe it does for them.</w:t>
      </w:r>
    </w:p>
    <w:p>
      <w:pPr>
        <w:pStyle w:val="ListParagraph"/>
        <w:numPr>
          <w:ilvl w:val="0"/>
          <w:numId w:val="2"/>
        </w:numPr>
        <w:spacing w:after="80"/>
      </w:pPr>
      <w:r>
        <w:t xml:space="preserve">Whether they ask about price, timeline, or who else uses it — each signals a different level of interest.</w:t>
      </w:r>
    </w:p>
    <w:p>
      <w:pPr>
        <w:pStyle w:val="ListParagraph"/>
        <w:numPr>
          <w:ilvl w:val="0"/>
          <w:numId w:val="2"/>
        </w:numPr>
        <w:spacing w:after="80"/>
      </w:pPr>
      <w:r>
        <w:t xml:space="preserve">Whether anyone volunteers volumes: faxes per day, no-show rate, eligibility checks per week. Volunteered numbers are far stronger evidence than agreement.</w:t>
      </w:r>
    </w:p>
    <w:p>
      <w:pPr>
        <w:pStyle w:val="Heading1"/>
        <w:spacing w:after="140" w:before="280"/>
      </w:pPr>
      <w:r>
        <w:t xml:space="preserve">4. Delivery and Onboarding Model</w:t>
      </w:r>
    </w:p>
    <w:p>
      <w:pPr>
        <w:spacing w:after="120"/>
      </w:pPr>
      <w:r>
        <w:t xml:space="preserve">Onboarding is incremental. Each workflow carries only its own external prerequisites, so no clinic waits on several paperwork tracks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shd w:fill="E8EDF2" w:color="auto" w:val="clear"/>
            <w:tcMar>
              <w:top w:type="dxa" w:w="80"/>
              <w:left w:type="dxa" w:w="120"/>
              <w:bottom w:type="dxa" w:w="80"/>
              <w:right w:type="dxa" w:w="120"/>
            </w:tcMar>
          </w:tcPr>
          <w:p>
            <w:pPr>
              <w:spacing w:after="0"/>
            </w:pPr>
            <w:r>
              <w:rPr>
                <w:b/>
                <w:bCs/>
                <w:sz w:val="19"/>
                <w:szCs w:val="19"/>
              </w:rPr>
              <w:t xml:space="preserve">Workflow</w:t>
            </w:r>
          </w:p>
        </w:tc>
        <w:tc>
          <w:tcPr>
            <w:tcW w:type="dxa" w:w="3300"/>
            <w:shd w:fill="E8EDF2" w:color="auto" w:val="clear"/>
            <w:tcMar>
              <w:top w:type="dxa" w:w="80"/>
              <w:left w:type="dxa" w:w="120"/>
              <w:bottom w:type="dxa" w:w="80"/>
              <w:right w:type="dxa" w:w="120"/>
            </w:tcMar>
          </w:tcPr>
          <w:p>
            <w:pPr>
              <w:spacing w:after="0"/>
            </w:pPr>
            <w:r>
              <w:rPr>
                <w:b/>
                <w:bCs/>
                <w:sz w:val="19"/>
                <w:szCs w:val="19"/>
              </w:rPr>
              <w:t xml:space="preserve">External prerequisites</w:t>
            </w:r>
          </w:p>
        </w:tc>
        <w:tc>
          <w:tcPr>
            <w:tcW w:type="dxa" w:w="3560"/>
            <w:shd w:fill="E8EDF2" w:color="auto" w:val="clear"/>
            <w:tcMar>
              <w:top w:type="dxa" w:w="80"/>
              <w:left w:type="dxa" w:w="120"/>
              <w:bottom w:type="dxa" w:w="80"/>
              <w:right w:type="dxa" w:w="120"/>
            </w:tcMar>
          </w:tcPr>
          <w:p>
            <w:pPr>
              <w:spacing w:after="0"/>
            </w:pPr>
            <w:r>
              <w:rPr>
                <w:b/>
                <w:bCs/>
                <w:sz w:val="19"/>
                <w:szCs w:val="19"/>
              </w:rPr>
              <w:t xml:space="preserve">Who does the work</w:t>
            </w:r>
          </w:p>
        </w:tc>
      </w:tr>
      <w:tr>
        <w:tc>
          <w:tcPr>
            <w:tcW w:type="dxa" w:w="2500"/>
            <w:tcMar>
              <w:top w:type="dxa" w:w="80"/>
              <w:left w:type="dxa" w:w="120"/>
              <w:bottom w:type="dxa" w:w="80"/>
              <w:right w:type="dxa" w:w="120"/>
            </w:tcMar>
          </w:tcPr>
          <w:p>
            <w:pPr>
              <w:spacing w:after="0"/>
            </w:pPr>
            <w:r>
              <w:rPr>
                <w:b w:val="false"/>
                <w:bCs w:val="false"/>
                <w:sz w:val="19"/>
                <w:szCs w:val="19"/>
              </w:rPr>
              <w:t xml:space="preserve">Incoming &amp; outgoing faxes</w:t>
            </w:r>
          </w:p>
        </w:tc>
        <w:tc>
          <w:tcPr>
            <w:tcW w:type="dxa" w:w="3300"/>
            <w:tcMar>
              <w:top w:type="dxa" w:w="80"/>
              <w:left w:type="dxa" w:w="120"/>
              <w:bottom w:type="dxa" w:w="80"/>
              <w:right w:type="dxa" w:w="120"/>
            </w:tcMar>
          </w:tcPr>
          <w:p>
            <w:pPr>
              <w:spacing w:after="0"/>
            </w:pPr>
            <w:r>
              <w:rPr>
                <w:b w:val="false"/>
                <w:bCs w:val="false"/>
                <w:sz w:val="19"/>
                <w:szCs w:val="19"/>
              </w:rPr>
              <w:t xml:space="preserve">Clinic fax must be digital (cloud/efax); fax vendor BAA</w:t>
            </w:r>
          </w:p>
        </w:tc>
        <w:tc>
          <w:tcPr>
            <w:tcW w:type="dxa" w:w="3560"/>
            <w:tcMar>
              <w:top w:type="dxa" w:w="80"/>
              <w:left w:type="dxa" w:w="120"/>
              <w:bottom w:type="dxa" w:w="80"/>
              <w:right w:type="dxa" w:w="120"/>
            </w:tcMar>
          </w:tcPr>
          <w:p>
            <w:pPr>
              <w:spacing w:after="0"/>
            </w:pPr>
            <w:r>
              <w:rPr>
                <w:b w:val="false"/>
                <w:bCs w:val="false"/>
                <w:sz w:val="19"/>
                <w:szCs w:val="19"/>
              </w:rPr>
              <w:t xml:space="preserve">HaloFlow arranges. Migration required if the clinic is still on a physical machine.</w:t>
            </w:r>
          </w:p>
        </w:tc>
      </w:tr>
      <w:tr>
        <w:tc>
          <w:tcPr>
            <w:tcW w:type="dxa" w:w="2500"/>
            <w:tcMar>
              <w:top w:type="dxa" w:w="80"/>
              <w:left w:type="dxa" w:w="120"/>
              <w:bottom w:type="dxa" w:w="80"/>
              <w:right w:type="dxa" w:w="120"/>
            </w:tcMar>
          </w:tcPr>
          <w:p>
            <w:pPr>
              <w:spacing w:after="0"/>
            </w:pPr>
            <w:r>
              <w:rPr>
                <w:b w:val="false"/>
                <w:bCs w:val="false"/>
                <w:sz w:val="19"/>
                <w:szCs w:val="19"/>
              </w:rPr>
              <w:t xml:space="preserve">Appointment reminders &amp; no-shows</w:t>
            </w:r>
          </w:p>
        </w:tc>
        <w:tc>
          <w:tcPr>
            <w:tcW w:type="dxa" w:w="3300"/>
            <w:tcMar>
              <w:top w:type="dxa" w:w="80"/>
              <w:left w:type="dxa" w:w="120"/>
              <w:bottom w:type="dxa" w:w="80"/>
              <w:right w:type="dxa" w:w="120"/>
            </w:tcMar>
          </w:tcPr>
          <w:p>
            <w:pPr>
              <w:spacing w:after="0"/>
            </w:pPr>
            <w:r>
              <w:rPr>
                <w:b w:val="false"/>
                <w:bCs w:val="false"/>
                <w:sz w:val="19"/>
                <w:szCs w:val="19"/>
              </w:rPr>
              <w:t xml:space="preserve">Messaging registration (A2P brand and campaign); patient consent policy; schedule access</w:t>
            </w:r>
          </w:p>
        </w:tc>
        <w:tc>
          <w:tcPr>
            <w:tcW w:type="dxa" w:w="3560"/>
            <w:tcMar>
              <w:top w:type="dxa" w:w="80"/>
              <w:left w:type="dxa" w:w="120"/>
              <w:bottom w:type="dxa" w:w="80"/>
              <w:right w:type="dxa" w:w="120"/>
            </w:tcMar>
          </w:tcPr>
          <w:p>
            <w:pPr>
              <w:spacing w:after="0"/>
            </w:pPr>
            <w:r>
              <w:rPr>
                <w:b w:val="false"/>
                <w:bCs w:val="false"/>
                <w:sz w:val="19"/>
                <w:szCs w:val="19"/>
              </w:rPr>
              <w:t xml:space="preserve">HaloFlow registers and configures.</w:t>
            </w:r>
          </w:p>
        </w:tc>
      </w:tr>
      <w:tr>
        <w:tc>
          <w:tcPr>
            <w:tcW w:type="dxa" w:w="2500"/>
            <w:tcMar>
              <w:top w:type="dxa" w:w="80"/>
              <w:left w:type="dxa" w:w="120"/>
              <w:bottom w:type="dxa" w:w="80"/>
              <w:right w:type="dxa" w:w="120"/>
            </w:tcMar>
          </w:tcPr>
          <w:p>
            <w:pPr>
              <w:spacing w:after="0"/>
            </w:pPr>
            <w:r>
              <w:rPr>
                <w:b w:val="false"/>
                <w:bCs w:val="false"/>
                <w:sz w:val="19"/>
                <w:szCs w:val="19"/>
              </w:rPr>
              <w:t xml:space="preserve">Insurance eligibility checks</w:t>
            </w:r>
          </w:p>
        </w:tc>
        <w:tc>
          <w:tcPr>
            <w:tcW w:type="dxa" w:w="3300"/>
            <w:tcMar>
              <w:top w:type="dxa" w:w="80"/>
              <w:left w:type="dxa" w:w="120"/>
              <w:bottom w:type="dxa" w:w="80"/>
              <w:right w:type="dxa" w:w="120"/>
            </w:tcMar>
          </w:tcPr>
          <w:p>
            <w:pPr>
              <w:spacing w:after="0"/>
            </w:pPr>
            <w:r>
              <w:rPr>
                <w:b w:val="false"/>
                <w:bCs w:val="false"/>
                <w:sz w:val="19"/>
                <w:szCs w:val="19"/>
              </w:rPr>
              <w:t xml:space="preserve">Clearinghouse account and trading-partner enrolment per payer</w:t>
            </w:r>
          </w:p>
        </w:tc>
        <w:tc>
          <w:tcPr>
            <w:tcW w:type="dxa" w:w="3560"/>
            <w:tcMar>
              <w:top w:type="dxa" w:w="80"/>
              <w:left w:type="dxa" w:w="120"/>
              <w:bottom w:type="dxa" w:w="80"/>
              <w:right w:type="dxa" w:w="120"/>
            </w:tcMar>
          </w:tcPr>
          <w:p>
            <w:pPr>
              <w:spacing w:after="0"/>
            </w:pPr>
            <w:r>
              <w:rPr>
                <w:b w:val="false"/>
                <w:bCs w:val="false"/>
                <w:sz w:val="19"/>
                <w:szCs w:val="19"/>
              </w:rPr>
              <w:t xml:space="preserve">HaloFlow prepares; clinic signature required on payer enrolment forms.</w:t>
            </w:r>
          </w:p>
        </w:tc>
      </w:tr>
      <w:tr>
        <w:tc>
          <w:tcPr>
            <w:tcW w:type="dxa" w:w="2500"/>
            <w:tcMar>
              <w:top w:type="dxa" w:w="80"/>
              <w:left w:type="dxa" w:w="120"/>
              <w:bottom w:type="dxa" w:w="80"/>
              <w:right w:type="dxa" w:w="120"/>
            </w:tcMar>
          </w:tcPr>
          <w:p>
            <w:pPr>
              <w:spacing w:after="0"/>
            </w:pPr>
            <w:r>
              <w:rPr>
                <w:b w:val="false"/>
                <w:bCs w:val="false"/>
                <w:sz w:val="19"/>
                <w:szCs w:val="19"/>
              </w:rPr>
              <w:t xml:space="preserve">Preventive care &amp; care-gap outreach</w:t>
            </w:r>
          </w:p>
        </w:tc>
        <w:tc>
          <w:tcPr>
            <w:tcW w:type="dxa" w:w="3300"/>
            <w:tcMar>
              <w:top w:type="dxa" w:w="80"/>
              <w:left w:type="dxa" w:w="120"/>
              <w:bottom w:type="dxa" w:w="80"/>
              <w:right w:type="dxa" w:w="120"/>
            </w:tcMar>
          </w:tcPr>
          <w:p>
            <w:pPr>
              <w:spacing w:after="0"/>
            </w:pPr>
            <w:r>
              <w:rPr>
                <w:b w:val="false"/>
                <w:bCs w:val="false"/>
                <w:sz w:val="19"/>
                <w:szCs w:val="19"/>
              </w:rPr>
              <w:t xml:space="preserve">Payer care-gap list access; messaging registration (shared with reminders)</w:t>
            </w:r>
          </w:p>
        </w:tc>
        <w:tc>
          <w:tcPr>
            <w:tcW w:type="dxa" w:w="3560"/>
            <w:tcMar>
              <w:top w:type="dxa" w:w="80"/>
              <w:left w:type="dxa" w:w="120"/>
              <w:bottom w:type="dxa" w:w="80"/>
              <w:right w:type="dxa" w:w="120"/>
            </w:tcMar>
          </w:tcPr>
          <w:p>
            <w:pPr>
              <w:spacing w:after="0"/>
            </w:pPr>
            <w:r>
              <w:rPr>
                <w:b w:val="false"/>
                <w:bCs w:val="false"/>
                <w:sz w:val="19"/>
                <w:szCs w:val="19"/>
              </w:rPr>
              <w:t xml:space="preserve">Clinic supplies payer files; HaloFlow ingests.</w:t>
            </w:r>
          </w:p>
        </w:tc>
      </w:tr>
      <w:tr>
        <w:tc>
          <w:tcPr>
            <w:tcW w:type="dxa" w:w="2500"/>
            <w:tcMar>
              <w:top w:type="dxa" w:w="80"/>
              <w:left w:type="dxa" w:w="120"/>
              <w:bottom w:type="dxa" w:w="80"/>
              <w:right w:type="dxa" w:w="120"/>
            </w:tcMar>
          </w:tcPr>
          <w:p>
            <w:pPr>
              <w:spacing w:after="0"/>
            </w:pPr>
            <w:r>
              <w:rPr>
                <w:b w:val="false"/>
                <w:bCs w:val="false"/>
                <w:sz w:val="19"/>
                <w:szCs w:val="19"/>
              </w:rPr>
              <w:t xml:space="preserve">All workflows</w:t>
            </w:r>
          </w:p>
        </w:tc>
        <w:tc>
          <w:tcPr>
            <w:tcW w:type="dxa" w:w="3300"/>
            <w:tcMar>
              <w:top w:type="dxa" w:w="80"/>
              <w:left w:type="dxa" w:w="120"/>
              <w:bottom w:type="dxa" w:w="80"/>
              <w:right w:type="dxa" w:w="120"/>
            </w:tcMar>
          </w:tcPr>
          <w:p>
            <w:pPr>
              <w:spacing w:after="0"/>
            </w:pPr>
            <w:r>
              <w:rPr>
                <w:b w:val="false"/>
                <w:bCs w:val="false"/>
                <w:sz w:val="19"/>
                <w:szCs w:val="19"/>
              </w:rPr>
              <w:t xml:space="preserve">BAA with the clinic; EMR access provisioning</w:t>
            </w:r>
          </w:p>
        </w:tc>
        <w:tc>
          <w:tcPr>
            <w:tcW w:type="dxa" w:w="3560"/>
            <w:tcMar>
              <w:top w:type="dxa" w:w="80"/>
              <w:left w:type="dxa" w:w="120"/>
              <w:bottom w:type="dxa" w:w="80"/>
              <w:right w:type="dxa" w:w="120"/>
            </w:tcMar>
          </w:tcPr>
          <w:p>
            <w:pPr>
              <w:spacing w:after="0"/>
            </w:pPr>
            <w:r>
              <w:rPr>
                <w:b w:val="false"/>
                <w:bCs w:val="false"/>
                <w:sz w:val="19"/>
                <w:szCs w:val="19"/>
              </w:rPr>
              <w:t xml:space="preserve">HaloFlow drafts and arranges; clinic signs.</w:t>
            </w:r>
          </w:p>
        </w:tc>
      </w:tr>
    </w:tbl>
    <w:p>
      <w:pPr>
        <w:spacing w:after="120"/>
      </w:pPr>
      <w:r>
        <w:rPr>
          <w:i/>
          <w:iCs/>
          <w:sz w:val="20"/>
          <w:szCs w:val="20"/>
        </w:rPr>
        <w:t xml:space="preserve">The BAA with the clinic and the subprocessor BAA chain must be complete before any PHI is touched, regardless of pilot or free-trial status.</w:t>
      </w:r>
    </w:p>
    <w:p>
      <w:pPr>
        <w:pStyle w:val="Heading1"/>
        <w:spacing w:after="140" w:before="280"/>
      </w:pPr>
      <w:r>
        <w:t xml:space="preserve">5. Current State of the Build</w:t>
      </w:r>
    </w:p>
    <w:p>
      <w:pPr>
        <w:spacing w:after="120"/>
      </w:pPr>
      <w:r>
        <w:t xml:space="preserve">Observed in the repository on 31 August 2026. This section exists so the estimate in §6 is anchored to real progress rather than to scope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DF2" w:color="auto" w:val="clear"/>
            <w:tcMar>
              <w:top w:type="dxa" w:w="80"/>
              <w:left w:type="dxa" w:w="120"/>
              <w:bottom w:type="dxa" w:w="80"/>
              <w:right w:type="dxa" w:w="120"/>
            </w:tcMar>
          </w:tcPr>
          <w:p>
            <w:pPr>
              <w:spacing w:after="0"/>
            </w:pPr>
            <w:r>
              <w:rPr>
                <w:b/>
                <w:bCs/>
                <w:sz w:val="19"/>
                <w:szCs w:val="19"/>
              </w:rPr>
              <w:t xml:space="preserve">Area</w:t>
            </w:r>
          </w:p>
        </w:tc>
        <w:tc>
          <w:tcPr>
            <w:tcW w:type="dxa" w:w="7160"/>
            <w:shd w:fill="E8EDF2" w:color="auto" w:val="clear"/>
            <w:tcMar>
              <w:top w:type="dxa" w:w="80"/>
              <w:left w:type="dxa" w:w="120"/>
              <w:bottom w:type="dxa" w:w="80"/>
              <w:right w:type="dxa" w:w="120"/>
            </w:tcMar>
          </w:tcPr>
          <w:p>
            <w:pPr>
              <w:spacing w:after="0"/>
            </w:pPr>
            <w:r>
              <w:rPr>
                <w:b/>
                <w:bCs/>
                <w:sz w:val="19"/>
                <w:szCs w:val="19"/>
              </w:rPr>
              <w:t xml:space="preserve">State</w:t>
            </w:r>
          </w:p>
        </w:tc>
      </w:tr>
      <w:tr>
        <w:tc>
          <w:tcPr>
            <w:tcW w:type="dxa" w:w="2200"/>
            <w:tcMar>
              <w:top w:type="dxa" w:w="80"/>
              <w:left w:type="dxa" w:w="120"/>
              <w:bottom w:type="dxa" w:w="80"/>
              <w:right w:type="dxa" w:w="120"/>
            </w:tcMar>
          </w:tcPr>
          <w:p>
            <w:pPr>
              <w:spacing w:after="0"/>
            </w:pPr>
            <w:r>
              <w:rPr>
                <w:b w:val="false"/>
                <w:bCs w:val="false"/>
                <w:sz w:val="19"/>
                <w:szCs w:val="19"/>
              </w:rPr>
              <w:t xml:space="preserve">Module plan</w:t>
            </w:r>
          </w:p>
        </w:tc>
        <w:tc>
          <w:tcPr>
            <w:tcW w:type="dxa" w:w="7160"/>
            <w:tcMar>
              <w:top w:type="dxa" w:w="80"/>
              <w:left w:type="dxa" w:w="120"/>
              <w:bottom w:type="dxa" w:w="80"/>
              <w:right w:type="dxa" w:w="120"/>
            </w:tcMar>
          </w:tcPr>
          <w:p>
            <w:pPr>
              <w:spacing w:after="0"/>
            </w:pPr>
            <w:r>
              <w:rPr>
                <w:b w:val="false"/>
                <w:bCs w:val="false"/>
                <w:sz w:val="19"/>
                <w:szCs w:val="19"/>
              </w:rPr>
              <w:t xml:space="preserve">A twelve-module plan (M01–M12) with scope, dependencies and a recommended implementation order is documented in HaloFlow_Module_Delivery_Tracker.md. The build order is therefore already defined; this document does not restate or change it.</w:t>
            </w:r>
          </w:p>
        </w:tc>
      </w:tr>
      <w:tr>
        <w:tc>
          <w:tcPr>
            <w:tcW w:type="dxa" w:w="2200"/>
            <w:tcMar>
              <w:top w:type="dxa" w:w="80"/>
              <w:left w:type="dxa" w:w="120"/>
              <w:bottom w:type="dxa" w:w="80"/>
              <w:right w:type="dxa" w:w="120"/>
            </w:tcMar>
          </w:tcPr>
          <w:p>
            <w:pPr>
              <w:spacing w:after="0"/>
            </w:pPr>
            <w:r>
              <w:rPr>
                <w:b w:val="false"/>
                <w:bCs w:val="false"/>
                <w:sz w:val="19"/>
                <w:szCs w:val="19"/>
              </w:rPr>
              <w:t xml:space="preserve">M01 — Tenant Context and Data Access</w:t>
            </w:r>
          </w:p>
        </w:tc>
        <w:tc>
          <w:tcPr>
            <w:tcW w:type="dxa" w:w="7160"/>
            <w:tcMar>
              <w:top w:type="dxa" w:w="80"/>
              <w:left w:type="dxa" w:w="120"/>
              <w:bottom w:type="dxa" w:w="80"/>
              <w:right w:type="dxa" w:w="120"/>
            </w:tcMar>
          </w:tcPr>
          <w:p>
            <w:pPr>
              <w:spacing w:after="0"/>
            </w:pPr>
            <w:r>
              <w:rPr>
                <w:b w:val="false"/>
                <w:bCs w:val="false"/>
                <w:sz w:val="19"/>
                <w:szCs w:val="19"/>
              </w:rPr>
              <w:t xml:space="preserve">Design and ADR accepted; foundation merged (PR #1). Shared control schema and roles, resolver-issued tenant context, transaction gateway, per-statement capability checks, pool reset and migration safety. 57 tests passing on PostgreSQL 17 with Ruff and strict mypy clean. Implementation still marked in progress: a defined debt PR (tenant-schema provisioner and per-tenant migration runner, public statement-catalogue construction, multi-capability context issuance, the execution_id rename with migration 002, and required correlation identifiers) must land before M02 implementation.</w:t>
            </w:r>
          </w:p>
        </w:tc>
      </w:tr>
      <w:tr>
        <w:tc>
          <w:tcPr>
            <w:tcW w:type="dxa" w:w="2200"/>
            <w:tcMar>
              <w:top w:type="dxa" w:w="80"/>
              <w:left w:type="dxa" w:w="120"/>
              <w:bottom w:type="dxa" w:w="80"/>
              <w:right w:type="dxa" w:w="120"/>
            </w:tcMar>
          </w:tcPr>
          <w:p>
            <w:pPr>
              <w:spacing w:after="0"/>
            </w:pPr>
            <w:r>
              <w:rPr>
                <w:b w:val="false"/>
                <w:bCs w:val="false"/>
                <w:sz w:val="19"/>
                <w:szCs w:val="19"/>
              </w:rPr>
              <w:t xml:space="preserve">M02 — Event and Operation Foundation</w:t>
            </w:r>
          </w:p>
        </w:tc>
        <w:tc>
          <w:tcPr>
            <w:tcW w:type="dxa" w:w="7160"/>
            <w:tcMar>
              <w:top w:type="dxa" w:w="80"/>
              <w:left w:type="dxa" w:w="120"/>
              <w:bottom w:type="dxa" w:w="80"/>
              <w:right w:type="dxa" w:w="120"/>
            </w:tcMar>
          </w:tcPr>
          <w:p>
            <w:pPr>
              <w:spacing w:after="0"/>
            </w:pPr>
            <w:r>
              <w:rPr>
                <w:b w:val="false"/>
                <w:bCs w:val="false"/>
                <w:sz w:val="19"/>
                <w:szCs w:val="19"/>
              </w:rPr>
              <w:t xml:space="preserve">Requirements v1.0, Technical Design v0.3 and ADR-011 accepted; the OI-007 seed catalogue is frozen. Implementation not started and gated on the M01 debt PR. Remaining production gates OI-005, OI-006, OI-009 and OI-010 are recorded in the tracker.</w:t>
            </w:r>
          </w:p>
        </w:tc>
      </w:tr>
      <w:tr>
        <w:tc>
          <w:tcPr>
            <w:tcW w:type="dxa" w:w="2200"/>
            <w:tcMar>
              <w:top w:type="dxa" w:w="80"/>
              <w:left w:type="dxa" w:w="120"/>
              <w:bottom w:type="dxa" w:w="80"/>
              <w:right w:type="dxa" w:w="120"/>
            </w:tcMar>
          </w:tcPr>
          <w:p>
            <w:pPr>
              <w:spacing w:after="0"/>
            </w:pPr>
            <w:r>
              <w:rPr>
                <w:b w:val="false"/>
                <w:bCs w:val="false"/>
                <w:sz w:val="19"/>
                <w:szCs w:val="19"/>
              </w:rPr>
              <w:t xml:space="preserve">M03 – M12</w:t>
            </w:r>
          </w:p>
        </w:tc>
        <w:tc>
          <w:tcPr>
            <w:tcW w:type="dxa" w:w="7160"/>
            <w:tcMar>
              <w:top w:type="dxa" w:w="80"/>
              <w:left w:type="dxa" w:w="120"/>
              <w:bottom w:type="dxa" w:w="80"/>
              <w:right w:type="dxa" w:w="120"/>
            </w:tcMar>
          </w:tcPr>
          <w:p>
            <w:pPr>
              <w:spacing w:after="0"/>
            </w:pPr>
            <w:r>
              <w:rPr>
                <w:b w:val="false"/>
                <w:bCs w:val="false"/>
                <w:sz w:val="19"/>
                <w:szCs w:val="19"/>
              </w:rPr>
              <w:t xml:space="preserve">Not started. No design, ADR or implementation.</w:t>
            </w:r>
          </w:p>
        </w:tc>
      </w:tr>
      <w:tr>
        <w:tc>
          <w:tcPr>
            <w:tcW w:type="dxa" w:w="2200"/>
            <w:tcMar>
              <w:top w:type="dxa" w:w="80"/>
              <w:left w:type="dxa" w:w="120"/>
              <w:bottom w:type="dxa" w:w="80"/>
              <w:right w:type="dxa" w:w="120"/>
            </w:tcMar>
          </w:tcPr>
          <w:p>
            <w:pPr>
              <w:spacing w:after="0"/>
            </w:pPr>
            <w:r>
              <w:rPr>
                <w:b w:val="false"/>
                <w:bCs w:val="false"/>
                <w:sz w:val="19"/>
                <w:szCs w:val="19"/>
              </w:rPr>
              <w:t xml:space="preserve">Legacy prototype</w:t>
            </w:r>
          </w:p>
        </w:tc>
        <w:tc>
          <w:tcPr>
            <w:tcW w:type="dxa" w:w="7160"/>
            <w:tcMar>
              <w:top w:type="dxa" w:w="80"/>
              <w:left w:type="dxa" w:w="120"/>
              <w:bottom w:type="dxa" w:w="80"/>
              <w:right w:type="dxa" w:w="120"/>
            </w:tcMar>
          </w:tcPr>
          <w:p>
            <w:pPr>
              <w:spacing w:after="0"/>
            </w:pPr>
            <w:r>
              <w:rPr>
                <w:b w:val="false"/>
                <w:bCs w:val="false"/>
                <w:sz w:val="19"/>
                <w:szCs w:val="19"/>
              </w:rPr>
              <w:t xml:space="preserve">src/haloflow/ contains roughly 4,000 lines of Python. Beyond M01 (about 770 lines of source plus 1,200 lines of tests and a 300-line migration), there is an earlier prototype layer: an athenahealth adapter, Notifyre fax and Stedi eligibility clients, a scheduler, and first-pass service and router code for all four Phase 1 workflows. It predates the M01 architecture, sits outside CI lint and type scope, and carries 32 known Ruff findings. It is valuable as design knowledge and as demo material; it is not production code.</w:t>
            </w:r>
          </w:p>
        </w:tc>
      </w:tr>
      <w:tr>
        <w:tc>
          <w:tcPr>
            <w:tcW w:type="dxa" w:w="2200"/>
            <w:tcMar>
              <w:top w:type="dxa" w:w="80"/>
              <w:left w:type="dxa" w:w="120"/>
              <w:bottom w:type="dxa" w:w="80"/>
              <w:right w:type="dxa" w:w="120"/>
            </w:tcMar>
          </w:tcPr>
          <w:p>
            <w:pPr>
              <w:spacing w:after="0"/>
            </w:pPr>
            <w:r>
              <w:rPr>
                <w:b w:val="false"/>
                <w:bCs w:val="false"/>
                <w:sz w:val="19"/>
                <w:szCs w:val="19"/>
              </w:rPr>
              <w:t xml:space="preserve">Process discipline</w:t>
            </w:r>
          </w:p>
        </w:tc>
        <w:tc>
          <w:tcPr>
            <w:tcW w:type="dxa" w:w="7160"/>
            <w:tcMar>
              <w:top w:type="dxa" w:w="80"/>
              <w:left w:type="dxa" w:w="120"/>
              <w:bottom w:type="dxa" w:w="80"/>
              <w:right w:type="dxa" w:w="120"/>
            </w:tcMar>
          </w:tcPr>
          <w:p>
            <w:pPr>
              <w:spacing w:after="0"/>
            </w:pPr>
            <w:r>
              <w:rPr>
                <w:b w:val="false"/>
                <w:bCs w:val="false"/>
                <w:sz w:val="19"/>
                <w:szCs w:val="19"/>
              </w:rPr>
              <w:t xml:space="preserve">Requirements → architecture → unit test cases → alignment → code, with ADRs recorded and independent security review. This is a high-assurance process. It is appropriate for PHI work and it is slower per module than ordinary application development; the estimates below assume it continues.</w:t>
            </w:r>
          </w:p>
        </w:tc>
      </w:tr>
    </w:tbl>
    <w:p>
      <w:pPr>
        <w:pStyle w:val="Heading1"/>
        <w:spacing w:after="140" w:before="280"/>
      </w:pPr>
      <w:r>
        <w:t xml:space="preserve">6. Development Estimate</w:t>
      </w:r>
    </w:p>
    <w:p>
      <w:pPr>
        <w:pStyle w:val="Heading2"/>
        <w:spacing w:after="140" w:before="280"/>
      </w:pPr>
      <w:r>
        <w:t xml:space="preserve">6.1 Basis and assumptions — read before using these numbers</w:t>
      </w:r>
    </w:p>
    <w:p>
      <w:pPr>
        <w:pStyle w:val="ListParagraph"/>
        <w:numPr>
          <w:ilvl w:val="0"/>
          <w:numId w:val="2"/>
        </w:numPr>
        <w:spacing w:after="80"/>
      </w:pPr>
      <w:r>
        <w:t xml:space="preserve">Estimates are per module, following the existing M01–M12 plan and its recommended order.</w:t>
      </w:r>
    </w:p>
    <w:p>
      <w:pPr>
        <w:pStyle w:val="ListParagraph"/>
        <w:numPr>
          <w:ilvl w:val="0"/>
          <w:numId w:val="2"/>
        </w:numPr>
        <w:spacing w:after="80"/>
      </w:pPr>
      <w:r>
        <w:t xml:space="preserve">An engineering week means roughly 40 focused hours. Calendar time is derived separately in §6.3.</w:t>
      </w:r>
    </w:p>
    <w:p>
      <w:pPr>
        <w:pStyle w:val="ListParagraph"/>
        <w:numPr>
          <w:ilvl w:val="0"/>
          <w:numId w:val="2"/>
        </w:numPr>
        <w:spacing w:after="80"/>
      </w:pPr>
      <w:r>
        <w:t xml:space="preserve">Each module figure includes that module’s detailed design, ADR work, unit test cases and implementation, per the established process — not implementation alone.</w:t>
      </w:r>
    </w:p>
    <w:p>
      <w:pPr>
        <w:pStyle w:val="ListParagraph"/>
        <w:numPr>
          <w:ilvl w:val="0"/>
          <w:numId w:val="2"/>
        </w:numPr>
        <w:spacing w:after="80"/>
      </w:pPr>
      <w:r>
        <w:t xml:space="preserve">AI-assisted development is assumed throughout. Integration work, compliance work and real-world edge cases compress far less than application code.</w:t>
      </w:r>
    </w:p>
    <w:p>
      <w:pPr>
        <w:pStyle w:val="ListParagraph"/>
        <w:numPr>
          <w:ilvl w:val="0"/>
          <w:numId w:val="2"/>
        </w:numPr>
        <w:spacing w:after="80"/>
      </w:pPr>
      <w:r>
        <w:t xml:space="preserve">One developer assumed.</w:t>
      </w:r>
    </w:p>
    <w:p>
      <w:pPr>
        <w:pStyle w:val="ListParagraph"/>
        <w:numPr>
          <w:ilvl w:val="0"/>
          <w:numId w:val="2"/>
        </w:numPr>
        <w:spacing w:after="80"/>
      </w:pPr>
      <w:r>
        <w:t xml:space="preserve">Excluded: sales and marketing time, clinic onboarding labour, and support of live clinics. Those are real costs, tracked separately in §2.</w:t>
      </w:r>
    </w:p>
    <w:p>
      <w:pPr>
        <w:pStyle w:val="ListParagraph"/>
        <w:numPr>
          <w:ilvl w:val="0"/>
          <w:numId w:val="2"/>
        </w:numPr>
        <w:spacing w:after="80"/>
      </w:pPr>
      <w:r>
        <w:t xml:space="preserve">Ranges are wide deliberately. They should be re-cut per module at that module’s design freeze, when the scope is actually known.</w:t>
      </w:r>
    </w:p>
    <w:p>
      <w:pPr>
        <w:pStyle w:val="Heading2"/>
        <w:spacing w:after="140" w:before="280"/>
      </w:pPr>
      <w:r>
        <w:t xml:space="preserve">6.2 Estimate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rPr>
          <w:tblHeader/>
        </w:trPr>
        <w:tc>
          <w:tcPr>
            <w:tcW w:type="dxa" w:w="2500"/>
            <w:shd w:fill="E8EDF2" w:color="auto" w:val="clear"/>
            <w:tcMar>
              <w:top w:type="dxa" w:w="80"/>
              <w:left w:type="dxa" w:w="120"/>
              <w:bottom w:type="dxa" w:w="80"/>
              <w:right w:type="dxa" w:w="120"/>
            </w:tcMar>
          </w:tcPr>
          <w:p>
            <w:pPr>
              <w:spacing w:after="0"/>
            </w:pPr>
            <w:r>
              <w:rPr>
                <w:b/>
                <w:bCs/>
                <w:sz w:val="19"/>
                <w:szCs w:val="19"/>
              </w:rPr>
              <w:t xml:space="preserve">Module</w:t>
            </w:r>
          </w:p>
        </w:tc>
        <w:tc>
          <w:tcPr>
            <w:tcW w:type="dxa" w:w="1300"/>
            <w:shd w:fill="E8EDF2" w:color="auto" w:val="clear"/>
            <w:tcMar>
              <w:top w:type="dxa" w:w="80"/>
              <w:left w:type="dxa" w:w="120"/>
              <w:bottom w:type="dxa" w:w="80"/>
              <w:right w:type="dxa" w:w="120"/>
            </w:tcMar>
          </w:tcPr>
          <w:p>
            <w:pPr>
              <w:spacing w:after="0"/>
            </w:pPr>
            <w:r>
              <w:rPr>
                <w:b/>
                <w:bCs/>
                <w:sz w:val="19"/>
                <w:szCs w:val="19"/>
              </w:rPr>
              <w:t xml:space="preserve">Eng-weeks</w:t>
            </w:r>
          </w:p>
        </w:tc>
        <w:tc>
          <w:tcPr>
            <w:tcW w:type="dxa" w:w="5560"/>
            <w:shd w:fill="E8EDF2" w:color="auto" w:val="clear"/>
            <w:tcMar>
              <w:top w:type="dxa" w:w="80"/>
              <w:left w:type="dxa" w:w="120"/>
              <w:bottom w:type="dxa" w:w="80"/>
              <w:right w:type="dxa" w:w="120"/>
            </w:tcMar>
          </w:tcPr>
          <w:p>
            <w:pPr>
              <w:spacing w:after="0"/>
            </w:pPr>
            <w:r>
              <w:rPr>
                <w:b/>
                <w:bCs/>
                <w:sz w:val="19"/>
                <w:szCs w:val="19"/>
              </w:rPr>
              <w:t xml:space="preserve">Notes and main uncertainty</w:t>
            </w:r>
          </w:p>
        </w:tc>
      </w:tr>
      <w:tr>
        <w:tc>
          <w:tcPr>
            <w:tcW w:type="dxa" w:w="2500"/>
            <w:tcMar>
              <w:top w:type="dxa" w:w="80"/>
              <w:left w:type="dxa" w:w="120"/>
              <w:bottom w:type="dxa" w:w="80"/>
              <w:right w:type="dxa" w:w="120"/>
            </w:tcMar>
          </w:tcPr>
          <w:p>
            <w:pPr>
              <w:spacing w:after="0"/>
            </w:pPr>
            <w:r>
              <w:rPr>
                <w:b w:val="false"/>
                <w:bCs w:val="false"/>
                <w:sz w:val="19"/>
                <w:szCs w:val="19"/>
              </w:rPr>
              <w:t xml:space="preserve">M01 debt PR</w:t>
            </w:r>
          </w:p>
        </w:tc>
        <w:tc>
          <w:tcPr>
            <w:tcW w:type="dxa" w:w="1300"/>
            <w:tcMar>
              <w:top w:type="dxa" w:w="80"/>
              <w:left w:type="dxa" w:w="120"/>
              <w:bottom w:type="dxa" w:w="80"/>
              <w:right w:type="dxa" w:w="120"/>
            </w:tcMar>
          </w:tcPr>
          <w:p>
            <w:pPr>
              <w:spacing w:after="0"/>
            </w:pPr>
            <w:r>
              <w:rPr>
                <w:b w:val="false"/>
                <w:bCs w:val="false"/>
                <w:sz w:val="19"/>
                <w:szCs w:val="19"/>
              </w:rPr>
              <w:t xml:space="preserve">1.5 – 3</w:t>
            </w:r>
          </w:p>
        </w:tc>
        <w:tc>
          <w:tcPr>
            <w:tcW w:type="dxa" w:w="5560"/>
            <w:tcMar>
              <w:top w:type="dxa" w:w="80"/>
              <w:left w:type="dxa" w:w="120"/>
              <w:bottom w:type="dxa" w:w="80"/>
              <w:right w:type="dxa" w:w="120"/>
            </w:tcMar>
          </w:tcPr>
          <w:p>
            <w:pPr>
              <w:spacing w:after="0"/>
            </w:pPr>
            <w:r>
              <w:rPr>
                <w:b w:val="false"/>
                <w:bCs w:val="false"/>
                <w:sz w:val="19"/>
                <w:szCs w:val="19"/>
              </w:rPr>
              <w:t xml:space="preserve">Five defined items, already specified and approved as decisions B1–B8/F1. Lowest uncertainty in the plan. Gates M02.</w:t>
            </w:r>
          </w:p>
        </w:tc>
      </w:tr>
      <w:tr>
        <w:tc>
          <w:tcPr>
            <w:tcW w:type="dxa" w:w="2500"/>
            <w:tcMar>
              <w:top w:type="dxa" w:w="80"/>
              <w:left w:type="dxa" w:w="120"/>
              <w:bottom w:type="dxa" w:w="80"/>
              <w:right w:type="dxa" w:w="120"/>
            </w:tcMar>
          </w:tcPr>
          <w:p>
            <w:pPr>
              <w:spacing w:after="0"/>
            </w:pPr>
            <w:r>
              <w:rPr>
                <w:b w:val="false"/>
                <w:bCs w:val="false"/>
                <w:sz w:val="19"/>
                <w:szCs w:val="19"/>
              </w:rPr>
              <w:t xml:space="preserve">M01 production readiness</w:t>
            </w:r>
          </w:p>
        </w:tc>
        <w:tc>
          <w:tcPr>
            <w:tcW w:type="dxa" w:w="1300"/>
            <w:tcMar>
              <w:top w:type="dxa" w:w="80"/>
              <w:left w:type="dxa" w:w="120"/>
              <w:bottom w:type="dxa" w:w="80"/>
              <w:right w:type="dxa" w:w="120"/>
            </w:tcMar>
          </w:tcPr>
          <w:p>
            <w:pPr>
              <w:spacing w:after="0"/>
            </w:pPr>
            <w:r>
              <w:rPr>
                <w:b w:val="false"/>
                <w:bCs w:val="false"/>
                <w:sz w:val="19"/>
                <w:szCs w:val="19"/>
              </w:rPr>
              <w:t xml:space="preserve">3 – 6</w:t>
            </w:r>
          </w:p>
        </w:tc>
        <w:tc>
          <w:tcPr>
            <w:tcW w:type="dxa" w:w="5560"/>
            <w:tcMar>
              <w:top w:type="dxa" w:w="80"/>
              <w:left w:type="dxa" w:w="120"/>
              <w:bottom w:type="dxa" w:w="80"/>
              <w:right w:type="dxa" w:w="120"/>
            </w:tcMar>
          </w:tcPr>
          <w:p>
            <w:pPr>
              <w:spacing w:after="0"/>
            </w:pPr>
            <w:r>
              <w:rPr>
                <w:b w:val="false"/>
                <w:bCs w:val="false"/>
                <w:sz w:val="19"/>
                <w:szCs w:val="19"/>
              </w:rPr>
              <w:t xml:space="preserve">Legacy module migration behind M01, production identity claims and provisioning, reliability and performance evidence, PHI-safe telemetry, runbooks. Can partly run in parallel with later modules.</w:t>
            </w:r>
          </w:p>
        </w:tc>
      </w:tr>
      <w:tr>
        <w:tc>
          <w:tcPr>
            <w:tcW w:type="dxa" w:w="2500"/>
            <w:tcMar>
              <w:top w:type="dxa" w:w="80"/>
              <w:left w:type="dxa" w:w="120"/>
              <w:bottom w:type="dxa" w:w="80"/>
              <w:right w:type="dxa" w:w="120"/>
            </w:tcMar>
          </w:tcPr>
          <w:p>
            <w:pPr>
              <w:spacing w:after="0"/>
            </w:pPr>
            <w:r>
              <w:rPr>
                <w:b w:val="false"/>
                <w:bCs w:val="false"/>
                <w:sz w:val="19"/>
                <w:szCs w:val="19"/>
              </w:rPr>
              <w:t xml:space="preserve">M02 — Event and Operation Foundation</w:t>
            </w:r>
          </w:p>
        </w:tc>
        <w:tc>
          <w:tcPr>
            <w:tcW w:type="dxa" w:w="1300"/>
            <w:tcMar>
              <w:top w:type="dxa" w:w="80"/>
              <w:left w:type="dxa" w:w="120"/>
              <w:bottom w:type="dxa" w:w="80"/>
              <w:right w:type="dxa" w:w="120"/>
            </w:tcMar>
          </w:tcPr>
          <w:p>
            <w:pPr>
              <w:spacing w:after="0"/>
            </w:pPr>
            <w:r>
              <w:rPr>
                <w:b w:val="false"/>
                <w:bCs w:val="false"/>
                <w:sz w:val="19"/>
                <w:szCs w:val="19"/>
              </w:rPr>
              <w:t xml:space="preserve">4 – 7</w:t>
            </w:r>
          </w:p>
        </w:tc>
        <w:tc>
          <w:tcPr>
            <w:tcW w:type="dxa" w:w="5560"/>
            <w:tcMar>
              <w:top w:type="dxa" w:w="80"/>
              <w:left w:type="dxa" w:w="120"/>
              <w:bottom w:type="dxa" w:w="80"/>
              <w:right w:type="dxa" w:w="120"/>
            </w:tcMar>
          </w:tcPr>
          <w:p>
            <w:pPr>
              <w:spacing w:after="0"/>
            </w:pPr>
            <w:r>
              <w:rPr>
                <w:b w:val="false"/>
                <w:bCs w:val="false"/>
                <w:sz w:val="19"/>
                <w:szCs w:val="19"/>
              </w:rPr>
              <w:t xml:space="preserve">Design is complete and dense: six new shared tables, four-identifier model, event contracts, replay and reconciliation. Implementation risk is moderate because the design work is already done.</w:t>
            </w:r>
          </w:p>
        </w:tc>
      </w:tr>
      <w:tr>
        <w:tc>
          <w:tcPr>
            <w:tcW w:type="dxa" w:w="2500"/>
            <w:tcMar>
              <w:top w:type="dxa" w:w="80"/>
              <w:left w:type="dxa" w:w="120"/>
              <w:bottom w:type="dxa" w:w="80"/>
              <w:right w:type="dxa" w:w="120"/>
            </w:tcMar>
          </w:tcPr>
          <w:p>
            <w:pPr>
              <w:spacing w:after="0"/>
            </w:pPr>
            <w:r>
              <w:rPr>
                <w:b w:val="false"/>
                <w:bCs w:val="false"/>
                <w:sz w:val="19"/>
                <w:szCs w:val="19"/>
              </w:rPr>
              <w:t xml:space="preserve">M03 — Webhook Inbox and Worker Runtime</w:t>
            </w:r>
          </w:p>
        </w:tc>
        <w:tc>
          <w:tcPr>
            <w:tcW w:type="dxa" w:w="1300"/>
            <w:tcMar>
              <w:top w:type="dxa" w:w="80"/>
              <w:left w:type="dxa" w:w="120"/>
              <w:bottom w:type="dxa" w:w="80"/>
              <w:right w:type="dxa" w:w="120"/>
            </w:tcMar>
          </w:tcPr>
          <w:p>
            <w:pPr>
              <w:spacing w:after="0"/>
            </w:pPr>
            <w:r>
              <w:rPr>
                <w:b w:val="false"/>
                <w:bCs w:val="false"/>
                <w:sz w:val="19"/>
                <w:szCs w:val="19"/>
              </w:rPr>
              <w:t xml:space="preserve">3 – 5</w:t>
            </w:r>
          </w:p>
        </w:tc>
        <w:tc>
          <w:tcPr>
            <w:tcW w:type="dxa" w:w="5560"/>
            <w:tcMar>
              <w:top w:type="dxa" w:w="80"/>
              <w:left w:type="dxa" w:w="120"/>
              <w:bottom w:type="dxa" w:w="80"/>
              <w:right w:type="dxa" w:w="120"/>
            </w:tcMar>
          </w:tcPr>
          <w:p>
            <w:pPr>
              <w:spacing w:after="0"/>
            </w:pPr>
            <w:r>
              <w:rPr>
                <w:b w:val="false"/>
                <w:bCs w:val="false"/>
                <w:sz w:val="19"/>
                <w:szCs w:val="19"/>
              </w:rPr>
              <w:t xml:space="preserve">HMAC verification, encrypted durable inbox, atomic claiming, leases, retries, reclaimer.</w:t>
            </w:r>
          </w:p>
        </w:tc>
      </w:tr>
      <w:tr>
        <w:tc>
          <w:tcPr>
            <w:tcW w:type="dxa" w:w="2500"/>
            <w:tcMar>
              <w:top w:type="dxa" w:w="80"/>
              <w:left w:type="dxa" w:w="120"/>
              <w:bottom w:type="dxa" w:w="80"/>
              <w:right w:type="dxa" w:w="120"/>
            </w:tcMar>
          </w:tcPr>
          <w:p>
            <w:pPr>
              <w:spacing w:after="0"/>
            </w:pPr>
            <w:r>
              <w:rPr>
                <w:b w:val="false"/>
                <w:bCs w:val="false"/>
                <w:sz w:val="19"/>
                <w:szCs w:val="19"/>
              </w:rPr>
              <w:t xml:space="preserve">M04 — Tenant and Provider Routing</w:t>
            </w:r>
          </w:p>
        </w:tc>
        <w:tc>
          <w:tcPr>
            <w:tcW w:type="dxa" w:w="1300"/>
            <w:tcMar>
              <w:top w:type="dxa" w:w="80"/>
              <w:left w:type="dxa" w:w="120"/>
              <w:bottom w:type="dxa" w:w="80"/>
              <w:right w:type="dxa" w:w="120"/>
            </w:tcMar>
          </w:tcPr>
          <w:p>
            <w:pPr>
              <w:spacing w:after="0"/>
            </w:pPr>
            <w:r>
              <w:rPr>
                <w:b w:val="false"/>
                <w:bCs w:val="false"/>
                <w:sz w:val="19"/>
                <w:szCs w:val="19"/>
              </w:rPr>
              <w:t xml:space="preserve">2 – 4</w:t>
            </w:r>
          </w:p>
        </w:tc>
        <w:tc>
          <w:tcPr>
            <w:tcW w:type="dxa" w:w="5560"/>
            <w:tcMar>
              <w:top w:type="dxa" w:w="80"/>
              <w:left w:type="dxa" w:w="120"/>
              <w:bottom w:type="dxa" w:w="80"/>
              <w:right w:type="dxa" w:w="120"/>
            </w:tcMar>
          </w:tcPr>
          <w:p>
            <w:pPr>
              <w:spacing w:after="0"/>
            </w:pPr>
            <w:r>
              <w:rPr>
                <w:b w:val="false"/>
                <w:bCs w:val="false"/>
                <w:sz w:val="19"/>
                <w:szCs w:val="19"/>
              </w:rPr>
              <w:t xml:space="preserve">Registries and resolution; smallest module in the middle band.</w:t>
            </w:r>
          </w:p>
        </w:tc>
      </w:tr>
      <w:tr>
        <w:tc>
          <w:tcPr>
            <w:tcW w:type="dxa" w:w="2500"/>
            <w:tcMar>
              <w:top w:type="dxa" w:w="80"/>
              <w:left w:type="dxa" w:w="120"/>
              <w:bottom w:type="dxa" w:w="80"/>
              <w:right w:type="dxa" w:w="120"/>
            </w:tcMar>
          </w:tcPr>
          <w:p>
            <w:pPr>
              <w:spacing w:after="0"/>
            </w:pPr>
            <w:r>
              <w:rPr>
                <w:b w:val="false"/>
                <w:bCs w:val="false"/>
                <w:sz w:val="19"/>
                <w:szCs w:val="19"/>
              </w:rPr>
              <w:t xml:space="preserve">M05 — Work and Error Queues</w:t>
            </w:r>
          </w:p>
        </w:tc>
        <w:tc>
          <w:tcPr>
            <w:tcW w:type="dxa" w:w="1300"/>
            <w:tcMar>
              <w:top w:type="dxa" w:w="80"/>
              <w:left w:type="dxa" w:w="120"/>
              <w:bottom w:type="dxa" w:w="80"/>
              <w:right w:type="dxa" w:w="120"/>
            </w:tcMar>
          </w:tcPr>
          <w:p>
            <w:pPr>
              <w:spacing w:after="0"/>
            </w:pPr>
            <w:r>
              <w:rPr>
                <w:b w:val="false"/>
                <w:bCs w:val="false"/>
                <w:sz w:val="19"/>
                <w:szCs w:val="19"/>
              </w:rPr>
              <w:t xml:space="preserve">3 – 5</w:t>
            </w:r>
          </w:p>
        </w:tc>
        <w:tc>
          <w:tcPr>
            <w:tcW w:type="dxa" w:w="5560"/>
            <w:tcMar>
              <w:top w:type="dxa" w:w="80"/>
              <w:left w:type="dxa" w:w="120"/>
              <w:bottom w:type="dxa" w:w="80"/>
              <w:right w:type="dxa" w:w="120"/>
            </w:tcMar>
          </w:tcPr>
          <w:p>
            <w:pPr>
              <w:spacing w:after="0"/>
            </w:pPr>
            <w:r>
              <w:rPr>
                <w:b w:val="false"/>
                <w:bCs w:val="false"/>
                <w:sz w:val="19"/>
                <w:szCs w:val="19"/>
              </w:rPr>
              <w:t xml:space="preserve">Queue states, assignment, SLA, escalation, permissions. Feeds the staff-facing surface.</w:t>
            </w:r>
          </w:p>
        </w:tc>
      </w:tr>
      <w:tr>
        <w:tc>
          <w:tcPr>
            <w:tcW w:type="dxa" w:w="2500"/>
            <w:tcMar>
              <w:top w:type="dxa" w:w="80"/>
              <w:left w:type="dxa" w:w="120"/>
              <w:bottom w:type="dxa" w:w="80"/>
              <w:right w:type="dxa" w:w="120"/>
            </w:tcMar>
          </w:tcPr>
          <w:p>
            <w:pPr>
              <w:spacing w:after="0"/>
            </w:pPr>
            <w:r>
              <w:rPr>
                <w:b w:val="false"/>
                <w:bCs w:val="false"/>
                <w:sz w:val="19"/>
                <w:szCs w:val="19"/>
              </w:rPr>
              <w:t xml:space="preserve">M06 — Outbound Operation and Batch Runtime</w:t>
            </w:r>
          </w:p>
        </w:tc>
        <w:tc>
          <w:tcPr>
            <w:tcW w:type="dxa" w:w="1300"/>
            <w:tcMar>
              <w:top w:type="dxa" w:w="80"/>
              <w:left w:type="dxa" w:w="120"/>
              <w:bottom w:type="dxa" w:w="80"/>
              <w:right w:type="dxa" w:w="120"/>
            </w:tcMar>
          </w:tcPr>
          <w:p>
            <w:pPr>
              <w:spacing w:after="0"/>
            </w:pPr>
            <w:r>
              <w:rPr>
                <w:b w:val="false"/>
                <w:bCs w:val="false"/>
                <w:sz w:val="19"/>
                <w:szCs w:val="19"/>
              </w:rPr>
              <w:t xml:space="preserve">4 – 6</w:t>
            </w:r>
          </w:p>
        </w:tc>
        <w:tc>
          <w:tcPr>
            <w:tcW w:type="dxa" w:w="5560"/>
            <w:tcMar>
              <w:top w:type="dxa" w:w="80"/>
              <w:left w:type="dxa" w:w="120"/>
              <w:bottom w:type="dxa" w:w="80"/>
              <w:right w:type="dxa" w:w="120"/>
            </w:tcMar>
          </w:tcPr>
          <w:p>
            <w:pPr>
              <w:spacing w:after="0"/>
            </w:pPr>
            <w:r>
              <w:rPr>
                <w:b w:val="false"/>
                <w:bCs w:val="false"/>
                <w:sz w:val="19"/>
                <w:szCs w:val="19"/>
              </w:rPr>
              <w:t xml:space="preserve">Leases, fencing, provider idempotency, indeterminate outcomes, reconciliation. Conceptually the hardest reliability work in Phase 1.</w:t>
            </w:r>
          </w:p>
        </w:tc>
      </w:tr>
      <w:tr>
        <w:tc>
          <w:tcPr>
            <w:tcW w:type="dxa" w:w="2500"/>
            <w:tcMar>
              <w:top w:type="dxa" w:w="80"/>
              <w:left w:type="dxa" w:w="120"/>
              <w:bottom w:type="dxa" w:w="80"/>
              <w:right w:type="dxa" w:w="120"/>
            </w:tcMar>
          </w:tcPr>
          <w:p>
            <w:pPr>
              <w:spacing w:after="0"/>
            </w:pPr>
            <w:r>
              <w:rPr>
                <w:b w:val="false"/>
                <w:bCs w:val="false"/>
                <w:sz w:val="19"/>
                <w:szCs w:val="19"/>
              </w:rPr>
              <w:t xml:space="preserve">M07 — SMS Messaging and Consent</w:t>
            </w:r>
          </w:p>
        </w:tc>
        <w:tc>
          <w:tcPr>
            <w:tcW w:type="dxa" w:w="1300"/>
            <w:tcMar>
              <w:top w:type="dxa" w:w="80"/>
              <w:left w:type="dxa" w:w="120"/>
              <w:bottom w:type="dxa" w:w="80"/>
              <w:right w:type="dxa" w:w="120"/>
            </w:tcMar>
          </w:tcPr>
          <w:p>
            <w:pPr>
              <w:spacing w:after="0"/>
            </w:pPr>
            <w:r>
              <w:rPr>
                <w:b w:val="false"/>
                <w:bCs w:val="false"/>
                <w:sz w:val="19"/>
                <w:szCs w:val="19"/>
              </w:rPr>
              <w:t xml:space="preserve">3 – 5</w:t>
            </w:r>
          </w:p>
        </w:tc>
        <w:tc>
          <w:tcPr>
            <w:tcW w:type="dxa" w:w="5560"/>
            <w:tcMar>
              <w:top w:type="dxa" w:w="80"/>
              <w:left w:type="dxa" w:w="120"/>
              <w:bottom w:type="dxa" w:w="80"/>
              <w:right w:type="dxa" w:w="120"/>
            </w:tcMar>
          </w:tcPr>
          <w:p>
            <w:pPr>
              <w:spacing w:after="0"/>
            </w:pPr>
            <w:r>
              <w:rPr>
                <w:b w:val="false"/>
                <w:bCs w:val="false"/>
                <w:sz w:val="19"/>
                <w:szCs w:val="19"/>
              </w:rPr>
              <w:t xml:space="preserve">Prototype exists. Consent history and STOP/START handling are compliance-sensitive. External messaging registration runs in parallel (§7).</w:t>
            </w:r>
          </w:p>
        </w:tc>
      </w:tr>
      <w:tr>
        <w:tc>
          <w:tcPr>
            <w:tcW w:type="dxa" w:w="2500"/>
            <w:tcMar>
              <w:top w:type="dxa" w:w="80"/>
              <w:left w:type="dxa" w:w="120"/>
              <w:bottom w:type="dxa" w:w="80"/>
              <w:right w:type="dxa" w:w="120"/>
            </w:tcMar>
          </w:tcPr>
          <w:p>
            <w:pPr>
              <w:spacing w:after="0"/>
            </w:pPr>
            <w:r>
              <w:rPr>
                <w:b w:val="false"/>
                <w:bCs w:val="false"/>
                <w:sz w:val="19"/>
                <w:szCs w:val="19"/>
              </w:rPr>
              <w:t xml:space="preserve">M08 — Fax Processing</w:t>
            </w:r>
          </w:p>
        </w:tc>
        <w:tc>
          <w:tcPr>
            <w:tcW w:type="dxa" w:w="1300"/>
            <w:tcMar>
              <w:top w:type="dxa" w:w="80"/>
              <w:left w:type="dxa" w:w="120"/>
              <w:bottom w:type="dxa" w:w="80"/>
              <w:right w:type="dxa" w:w="120"/>
            </w:tcMar>
          </w:tcPr>
          <w:p>
            <w:pPr>
              <w:spacing w:after="0"/>
            </w:pPr>
            <w:r>
              <w:rPr>
                <w:b w:val="false"/>
                <w:bCs w:val="false"/>
                <w:sz w:val="19"/>
                <w:szCs w:val="19"/>
              </w:rPr>
              <w:t xml:space="preserve">5 – 8</w:t>
            </w:r>
          </w:p>
        </w:tc>
        <w:tc>
          <w:tcPr>
            <w:tcW w:type="dxa" w:w="5560"/>
            <w:tcMar>
              <w:top w:type="dxa" w:w="80"/>
              <w:left w:type="dxa" w:w="120"/>
              <w:bottom w:type="dxa" w:w="80"/>
              <w:right w:type="dxa" w:w="120"/>
            </w:tcMar>
          </w:tcPr>
          <w:p>
            <w:pPr>
              <w:spacing w:after="0"/>
            </w:pPr>
            <w:r>
              <w:rPr>
                <w:b w:val="false"/>
                <w:bCs w:val="false"/>
                <w:sz w:val="19"/>
                <w:szCs w:val="19"/>
              </w:rPr>
              <w:t xml:space="preserve">Largest workflow module: classification and OCR, patient matching, per-tenant storage, credential broker, retention and deletion gates, delivery tracking.</w:t>
            </w:r>
          </w:p>
        </w:tc>
      </w:tr>
      <w:tr>
        <w:tc>
          <w:tcPr>
            <w:tcW w:type="dxa" w:w="2500"/>
            <w:tcMar>
              <w:top w:type="dxa" w:w="80"/>
              <w:left w:type="dxa" w:w="120"/>
              <w:bottom w:type="dxa" w:w="80"/>
              <w:right w:type="dxa" w:w="120"/>
            </w:tcMar>
          </w:tcPr>
          <w:p>
            <w:pPr>
              <w:spacing w:after="0"/>
            </w:pPr>
            <w:r>
              <w:rPr>
                <w:b w:val="false"/>
                <w:bCs w:val="false"/>
                <w:sz w:val="19"/>
                <w:szCs w:val="19"/>
              </w:rPr>
              <w:t xml:space="preserve">M09 — Eligibility and Visit Readiness</w:t>
            </w:r>
          </w:p>
        </w:tc>
        <w:tc>
          <w:tcPr>
            <w:tcW w:type="dxa" w:w="1300"/>
            <w:tcMar>
              <w:top w:type="dxa" w:w="80"/>
              <w:left w:type="dxa" w:w="120"/>
              <w:bottom w:type="dxa" w:w="80"/>
              <w:right w:type="dxa" w:w="120"/>
            </w:tcMar>
          </w:tcPr>
          <w:p>
            <w:pPr>
              <w:spacing w:after="0"/>
            </w:pPr>
            <w:r>
              <w:rPr>
                <w:b w:val="false"/>
                <w:bCs w:val="false"/>
                <w:sz w:val="19"/>
                <w:szCs w:val="19"/>
              </w:rPr>
              <w:t xml:space="preserve">5 – 8</w:t>
            </w:r>
          </w:p>
        </w:tc>
        <w:tc>
          <w:tcPr>
            <w:tcW w:type="dxa" w:w="5560"/>
            <w:tcMar>
              <w:top w:type="dxa" w:w="80"/>
              <w:left w:type="dxa" w:w="120"/>
              <w:bottom w:type="dxa" w:w="80"/>
              <w:right w:type="dxa" w:w="120"/>
            </w:tcMar>
          </w:tcPr>
          <w:p>
            <w:pPr>
              <w:spacing w:after="0"/>
            </w:pPr>
            <w:r>
              <w:rPr>
                <w:b w:val="false"/>
                <w:bCs w:val="false"/>
                <w:sz w:val="19"/>
                <w:szCs w:val="19"/>
              </w:rPr>
              <w:t xml:space="preserve">X12 270/271 normalisation, clearinghouse adapter, deterministic exceptions, EMR write-back. Prototype exists against Stedi. Per-payer enrolment is external (§7).</w:t>
            </w:r>
          </w:p>
        </w:tc>
      </w:tr>
      <w:tr>
        <w:tc>
          <w:tcPr>
            <w:tcW w:type="dxa" w:w="2500"/>
            <w:tcMar>
              <w:top w:type="dxa" w:w="80"/>
              <w:left w:type="dxa" w:w="120"/>
              <w:bottom w:type="dxa" w:w="80"/>
              <w:right w:type="dxa" w:w="120"/>
            </w:tcMar>
          </w:tcPr>
          <w:p>
            <w:pPr>
              <w:spacing w:after="0"/>
            </w:pPr>
            <w:r>
              <w:rPr>
                <w:b w:val="false"/>
                <w:bCs w:val="false"/>
                <w:sz w:val="19"/>
                <w:szCs w:val="19"/>
              </w:rPr>
              <w:t xml:space="preserve">M10 — Clinic Workspace and Operational APIs</w:t>
            </w:r>
          </w:p>
        </w:tc>
        <w:tc>
          <w:tcPr>
            <w:tcW w:type="dxa" w:w="1300"/>
            <w:tcMar>
              <w:top w:type="dxa" w:w="80"/>
              <w:left w:type="dxa" w:w="120"/>
              <w:bottom w:type="dxa" w:w="80"/>
              <w:right w:type="dxa" w:w="120"/>
            </w:tcMar>
          </w:tcPr>
          <w:p>
            <w:pPr>
              <w:spacing w:after="0"/>
            </w:pPr>
            <w:r>
              <w:rPr>
                <w:b w:val="false"/>
                <w:bCs w:val="false"/>
                <w:sz w:val="19"/>
                <w:szCs w:val="19"/>
              </w:rPr>
              <w:t xml:space="preserve">5 – 9</w:t>
            </w:r>
          </w:p>
        </w:tc>
        <w:tc>
          <w:tcPr>
            <w:tcW w:type="dxa" w:w="5560"/>
            <w:tcMar>
              <w:top w:type="dxa" w:w="80"/>
              <w:left w:type="dxa" w:w="120"/>
              <w:bottom w:type="dxa" w:w="80"/>
              <w:right w:type="dxa" w:w="120"/>
            </w:tcMar>
          </w:tcPr>
          <w:p>
            <w:pPr>
              <w:spacing w:after="0"/>
            </w:pPr>
            <w:r>
              <w:rPr>
                <w:b w:val="false"/>
                <w:bCs w:val="false"/>
                <w:sz w:val="19"/>
                <w:szCs w:val="19"/>
              </w:rPr>
              <w:t xml:space="preserve">The staff-facing product surface, including the demo’s queue view. Widest range because the interface scope is not yet specified.</w:t>
            </w:r>
          </w:p>
        </w:tc>
      </w:tr>
      <w:tr>
        <w:tc>
          <w:tcPr>
            <w:tcW w:type="dxa" w:w="2500"/>
            <w:tcMar>
              <w:top w:type="dxa" w:w="80"/>
              <w:left w:type="dxa" w:w="120"/>
              <w:bottom w:type="dxa" w:w="80"/>
              <w:right w:type="dxa" w:w="120"/>
            </w:tcMar>
          </w:tcPr>
          <w:p>
            <w:pPr>
              <w:spacing w:after="0"/>
            </w:pPr>
            <w:r>
              <w:rPr>
                <w:b w:val="false"/>
                <w:bCs w:val="false"/>
                <w:sz w:val="19"/>
                <w:szCs w:val="19"/>
              </w:rPr>
              <w:t xml:space="preserve">M11 — Observability and Support Operations</w:t>
            </w:r>
          </w:p>
        </w:tc>
        <w:tc>
          <w:tcPr>
            <w:tcW w:type="dxa" w:w="1300"/>
            <w:tcMar>
              <w:top w:type="dxa" w:w="80"/>
              <w:left w:type="dxa" w:w="120"/>
              <w:bottom w:type="dxa" w:w="80"/>
              <w:right w:type="dxa" w:w="120"/>
            </w:tcMar>
          </w:tcPr>
          <w:p>
            <w:pPr>
              <w:spacing w:after="0"/>
            </w:pPr>
            <w:r>
              <w:rPr>
                <w:b w:val="false"/>
                <w:bCs w:val="false"/>
                <w:sz w:val="19"/>
                <w:szCs w:val="19"/>
              </w:rPr>
              <w:t xml:space="preserve">3 – 5</w:t>
            </w:r>
          </w:p>
        </w:tc>
        <w:tc>
          <w:tcPr>
            <w:tcW w:type="dxa" w:w="5560"/>
            <w:tcMar>
              <w:top w:type="dxa" w:w="80"/>
              <w:left w:type="dxa" w:w="120"/>
              <w:bottom w:type="dxa" w:w="80"/>
              <w:right w:type="dxa" w:w="120"/>
            </w:tcMar>
          </w:tcPr>
          <w:p>
            <w:pPr>
              <w:spacing w:after="0"/>
            </w:pPr>
            <w:r>
              <w:rPr>
                <w:b w:val="false"/>
                <w:bCs w:val="false"/>
                <w:sz w:val="19"/>
                <w:szCs w:val="19"/>
              </w:rPr>
              <w:t xml:space="preserve">Cross-cutting; the tracker correctly recommends building it incrementally from M01 rather than at the end. Shown as a total, spread across the programme.</w:t>
            </w:r>
          </w:p>
        </w:tc>
      </w:tr>
      <w:tr>
        <w:tc>
          <w:tcPr>
            <w:tcW w:type="dxa" w:w="2500"/>
            <w:tcMar>
              <w:top w:type="dxa" w:w="80"/>
              <w:left w:type="dxa" w:w="120"/>
              <w:bottom w:type="dxa" w:w="80"/>
              <w:right w:type="dxa" w:w="120"/>
            </w:tcMar>
          </w:tcPr>
          <w:p>
            <w:pPr>
              <w:spacing w:after="0"/>
            </w:pPr>
            <w:r>
              <w:rPr>
                <w:b w:val="false"/>
                <w:bCs w:val="false"/>
                <w:sz w:val="19"/>
                <w:szCs w:val="19"/>
              </w:rPr>
              <w:t xml:space="preserve">Phase 1 total (M01 debt → M11)</w:t>
            </w:r>
          </w:p>
        </w:tc>
        <w:tc>
          <w:tcPr>
            <w:tcW w:type="dxa" w:w="1300"/>
            <w:tcMar>
              <w:top w:type="dxa" w:w="80"/>
              <w:left w:type="dxa" w:w="120"/>
              <w:bottom w:type="dxa" w:w="80"/>
              <w:right w:type="dxa" w:w="120"/>
            </w:tcMar>
          </w:tcPr>
          <w:p>
            <w:pPr>
              <w:spacing w:after="0"/>
            </w:pPr>
            <w:r>
              <w:rPr>
                <w:b w:val="false"/>
                <w:bCs w:val="false"/>
                <w:sz w:val="19"/>
                <w:szCs w:val="19"/>
              </w:rPr>
              <w:t xml:space="preserve">42 – 71</w:t>
            </w:r>
          </w:p>
        </w:tc>
        <w:tc>
          <w:tcPr>
            <w:tcW w:type="dxa" w:w="5560"/>
            <w:tcMar>
              <w:top w:type="dxa" w:w="80"/>
              <w:left w:type="dxa" w:w="120"/>
              <w:bottom w:type="dxa" w:w="80"/>
              <w:right w:type="dxa" w:w="120"/>
            </w:tcMar>
          </w:tcPr>
          <w:p>
            <w:pPr>
              <w:spacing w:after="0"/>
            </w:pPr>
            <w:r>
              <w:rPr>
                <w:b w:val="false"/>
                <w:bCs w:val="false"/>
                <w:sz w:val="19"/>
                <w:szCs w:val="19"/>
              </w:rPr>
              <w:t xml:space="preserve">Approximately 1,700 – 2,850 focused engineering hours.</w:t>
            </w:r>
          </w:p>
        </w:tc>
      </w:tr>
      <w:tr>
        <w:tc>
          <w:tcPr>
            <w:tcW w:type="dxa" w:w="2500"/>
            <w:tcMar>
              <w:top w:type="dxa" w:w="80"/>
              <w:left w:type="dxa" w:w="120"/>
              <w:bottom w:type="dxa" w:w="80"/>
              <w:right w:type="dxa" w:w="120"/>
            </w:tcMar>
          </w:tcPr>
          <w:p>
            <w:pPr>
              <w:spacing w:after="0"/>
            </w:pPr>
            <w:r>
              <w:rPr>
                <w:b w:val="false"/>
                <w:bCs w:val="false"/>
                <w:sz w:val="19"/>
                <w:szCs w:val="19"/>
              </w:rPr>
              <w:t xml:space="preserve">M12 — Governed Intelligent Layer</w:t>
            </w:r>
          </w:p>
        </w:tc>
        <w:tc>
          <w:tcPr>
            <w:tcW w:type="dxa" w:w="1300"/>
            <w:tcMar>
              <w:top w:type="dxa" w:w="80"/>
              <w:left w:type="dxa" w:w="120"/>
              <w:bottom w:type="dxa" w:w="80"/>
              <w:right w:type="dxa" w:w="120"/>
            </w:tcMar>
          </w:tcPr>
          <w:p>
            <w:pPr>
              <w:spacing w:after="0"/>
            </w:pPr>
            <w:r>
              <w:rPr>
                <w:b w:val="false"/>
                <w:bCs w:val="false"/>
                <w:sz w:val="19"/>
                <w:szCs w:val="19"/>
              </w:rPr>
              <w:t xml:space="preserve">8 – 14</w:t>
            </w:r>
          </w:p>
        </w:tc>
        <w:tc>
          <w:tcPr>
            <w:tcW w:type="dxa" w:w="5560"/>
            <w:tcMar>
              <w:top w:type="dxa" w:w="80"/>
              <w:left w:type="dxa" w:w="120"/>
              <w:bottom w:type="dxa" w:w="80"/>
              <w:right w:type="dxa" w:w="120"/>
            </w:tcMar>
          </w:tcPr>
          <w:p>
            <w:pPr>
              <w:spacing w:after="0"/>
            </w:pPr>
            <w:r>
              <w:rPr>
                <w:b w:val="false"/>
                <w:bCs w:val="false"/>
                <w:sz w:val="19"/>
                <w:szCs w:val="19"/>
              </w:rPr>
              <w:t xml:space="preserve">Tier 3 and beyond. Excluded from the Phase 1 total; listed for planning only.</w:t>
            </w:r>
          </w:p>
        </w:tc>
      </w:tr>
    </w:tbl>
    <w:p>
      <w:pPr>
        <w:pStyle w:val="Heading2"/>
        <w:spacing w:after="140" w:before="280"/>
      </w:pPr>
      <w:r>
        <w:t xml:space="preserve">6.3 Milestones and calendar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rPr>
          <w:tblHeader/>
        </w:trPr>
        <w:tc>
          <w:tcPr>
            <w:tcW w:type="dxa" w:w="2900"/>
            <w:shd w:fill="E8EDF2" w:color="auto" w:val="clear"/>
            <w:tcMar>
              <w:top w:type="dxa" w:w="80"/>
              <w:left w:type="dxa" w:w="120"/>
              <w:bottom w:type="dxa" w:w="80"/>
              <w:right w:type="dxa" w:w="120"/>
            </w:tcMar>
          </w:tcPr>
          <w:p>
            <w:pPr>
              <w:spacing w:after="0"/>
            </w:pPr>
            <w:r>
              <w:rPr>
                <w:b/>
                <w:bCs/>
                <w:sz w:val="19"/>
                <w:szCs w:val="19"/>
              </w:rPr>
              <w:t xml:space="preserve">Milestone</w:t>
            </w:r>
          </w:p>
        </w:tc>
        <w:tc>
          <w:tcPr>
            <w:tcW w:type="dxa" w:w="1500"/>
            <w:shd w:fill="E8EDF2" w:color="auto" w:val="clear"/>
            <w:tcMar>
              <w:top w:type="dxa" w:w="80"/>
              <w:left w:type="dxa" w:w="120"/>
              <w:bottom w:type="dxa" w:w="80"/>
              <w:right w:type="dxa" w:w="120"/>
            </w:tcMar>
          </w:tcPr>
          <w:p>
            <w:pPr>
              <w:spacing w:after="0"/>
            </w:pPr>
            <w:r>
              <w:rPr>
                <w:b/>
                <w:bCs/>
                <w:sz w:val="19"/>
                <w:szCs w:val="19"/>
              </w:rPr>
              <w:t xml:space="preserve">Eng-weeks</w:t>
            </w:r>
          </w:p>
        </w:tc>
        <w:tc>
          <w:tcPr>
            <w:tcW w:type="dxa" w:w="4960"/>
            <w:shd w:fill="E8EDF2" w:color="auto" w:val="clear"/>
            <w:tcMar>
              <w:top w:type="dxa" w:w="80"/>
              <w:left w:type="dxa" w:w="120"/>
              <w:bottom w:type="dxa" w:w="80"/>
              <w:right w:type="dxa" w:w="120"/>
            </w:tcMar>
          </w:tcPr>
          <w:p>
            <w:pPr>
              <w:spacing w:after="0"/>
            </w:pPr>
            <w:r>
              <w:rPr>
                <w:b/>
                <w:bCs/>
                <w:sz w:val="19"/>
                <w:szCs w:val="19"/>
              </w:rPr>
              <w:t xml:space="preserve">Includes</w:t>
            </w:r>
          </w:p>
        </w:tc>
      </w:tr>
      <w:tr>
        <w:tc>
          <w:tcPr>
            <w:tcW w:type="dxa" w:w="2900"/>
            <w:tcMar>
              <w:top w:type="dxa" w:w="80"/>
              <w:left w:type="dxa" w:w="120"/>
              <w:bottom w:type="dxa" w:w="80"/>
              <w:right w:type="dxa" w:w="120"/>
            </w:tcMar>
          </w:tcPr>
          <w:p>
            <w:pPr>
              <w:spacing w:after="0"/>
            </w:pPr>
            <w:r>
              <w:rPr>
                <w:b w:val="false"/>
                <w:bCs w:val="false"/>
                <w:sz w:val="19"/>
                <w:szCs w:val="19"/>
              </w:rPr>
              <w:t xml:space="preserve">D1 — Demo ready to show clinics</w:t>
            </w:r>
          </w:p>
        </w:tc>
        <w:tc>
          <w:tcPr>
            <w:tcW w:type="dxa" w:w="1500"/>
            <w:tcMar>
              <w:top w:type="dxa" w:w="80"/>
              <w:left w:type="dxa" w:w="120"/>
              <w:bottom w:type="dxa" w:w="80"/>
              <w:right w:type="dxa" w:w="120"/>
            </w:tcMar>
          </w:tcPr>
          <w:p>
            <w:pPr>
              <w:spacing w:after="0"/>
            </w:pPr>
            <w:r>
              <w:rPr>
                <w:b w:val="false"/>
                <w:bCs w:val="false"/>
                <w:sz w:val="19"/>
                <w:szCs w:val="19"/>
              </w:rPr>
              <w:t xml:space="preserve">2 – 5</w:t>
            </w:r>
          </w:p>
        </w:tc>
        <w:tc>
          <w:tcPr>
            <w:tcW w:type="dxa" w:w="4960"/>
            <w:tcMar>
              <w:top w:type="dxa" w:w="80"/>
              <w:left w:type="dxa" w:w="120"/>
              <w:bottom w:type="dxa" w:w="80"/>
              <w:right w:type="dxa" w:w="120"/>
            </w:tcMar>
          </w:tcPr>
          <w:p>
            <w:pPr>
              <w:spacing w:after="0"/>
            </w:pPr>
            <w:r>
              <w:rPr>
                <w:b w:val="false"/>
                <w:bCs w:val="false"/>
                <w:sz w:val="19"/>
                <w:szCs w:val="19"/>
              </w:rPr>
              <w:t xml:space="preserve">Built on the legacy prototype and mock adapters rather than on the M-module stack, so it does not sit behind M02–M11 and can run in parallel. Includes the scenario in §3, the deliberate exception case, a synthetic document and payer-response set, and re-skinning support.</w:t>
            </w:r>
          </w:p>
        </w:tc>
      </w:tr>
      <w:tr>
        <w:tc>
          <w:tcPr>
            <w:tcW w:type="dxa" w:w="2900"/>
            <w:tcMar>
              <w:top w:type="dxa" w:w="80"/>
              <w:left w:type="dxa" w:w="120"/>
              <w:bottom w:type="dxa" w:w="80"/>
              <w:right w:type="dxa" w:w="120"/>
            </w:tcMar>
          </w:tcPr>
          <w:p>
            <w:pPr>
              <w:spacing w:after="0"/>
            </w:pPr>
            <w:r>
              <w:rPr>
                <w:b w:val="false"/>
                <w:bCs w:val="false"/>
                <w:sz w:val="19"/>
                <w:szCs w:val="19"/>
              </w:rPr>
              <w:t xml:space="preserve">P1 — First workflow live at one clinic</w:t>
            </w:r>
          </w:p>
        </w:tc>
        <w:tc>
          <w:tcPr>
            <w:tcW w:type="dxa" w:w="1500"/>
            <w:tcMar>
              <w:top w:type="dxa" w:w="80"/>
              <w:left w:type="dxa" w:w="120"/>
              <w:bottom w:type="dxa" w:w="80"/>
              <w:right w:type="dxa" w:w="120"/>
            </w:tcMar>
          </w:tcPr>
          <w:p>
            <w:pPr>
              <w:spacing w:after="0"/>
            </w:pPr>
            <w:r>
              <w:rPr>
                <w:b w:val="false"/>
                <w:bCs w:val="false"/>
                <w:sz w:val="19"/>
                <w:szCs w:val="19"/>
              </w:rPr>
              <w:t xml:space="preserve">30 – 52</w:t>
            </w:r>
          </w:p>
        </w:tc>
        <w:tc>
          <w:tcPr>
            <w:tcW w:type="dxa" w:w="4960"/>
            <w:tcMar>
              <w:top w:type="dxa" w:w="80"/>
              <w:left w:type="dxa" w:w="120"/>
              <w:bottom w:type="dxa" w:w="80"/>
              <w:right w:type="dxa" w:w="120"/>
            </w:tcMar>
          </w:tcPr>
          <w:p>
            <w:pPr>
              <w:spacing w:after="0"/>
            </w:pPr>
            <w:r>
              <w:rPr>
                <w:b w:val="false"/>
                <w:bCs w:val="false"/>
                <w:sz w:val="19"/>
                <w:szCs w:val="19"/>
              </w:rPr>
              <w:t xml:space="preserve">M01 debt and readiness, M02–M06, one workflow module, a minimum M10 surface, and the M11 slice needed to operate it safely.</w:t>
            </w:r>
          </w:p>
        </w:tc>
      </w:tr>
      <w:tr>
        <w:tc>
          <w:tcPr>
            <w:tcW w:type="dxa" w:w="2900"/>
            <w:tcMar>
              <w:top w:type="dxa" w:w="80"/>
              <w:left w:type="dxa" w:w="120"/>
              <w:bottom w:type="dxa" w:w="80"/>
              <w:right w:type="dxa" w:w="120"/>
            </w:tcMar>
          </w:tcPr>
          <w:p>
            <w:pPr>
              <w:spacing w:after="0"/>
            </w:pPr>
            <w:r>
              <w:rPr>
                <w:b w:val="false"/>
                <w:bCs w:val="false"/>
                <w:sz w:val="19"/>
                <w:szCs w:val="19"/>
              </w:rPr>
              <w:t xml:space="preserve">P2 — All four workflows live (Phase 1 complete)</w:t>
            </w:r>
          </w:p>
        </w:tc>
        <w:tc>
          <w:tcPr>
            <w:tcW w:type="dxa" w:w="1500"/>
            <w:tcMar>
              <w:top w:type="dxa" w:w="80"/>
              <w:left w:type="dxa" w:w="120"/>
              <w:bottom w:type="dxa" w:w="80"/>
              <w:right w:type="dxa" w:w="120"/>
            </w:tcMar>
          </w:tcPr>
          <w:p>
            <w:pPr>
              <w:spacing w:after="0"/>
            </w:pPr>
            <w:r>
              <w:rPr>
                <w:b w:val="false"/>
                <w:bCs w:val="false"/>
                <w:sz w:val="19"/>
                <w:szCs w:val="19"/>
              </w:rPr>
              <w:t xml:space="preserve">42 – 71</w:t>
            </w:r>
          </w:p>
        </w:tc>
        <w:tc>
          <w:tcPr>
            <w:tcW w:type="dxa" w:w="4960"/>
            <w:tcMar>
              <w:top w:type="dxa" w:w="80"/>
              <w:left w:type="dxa" w:w="120"/>
              <w:bottom w:type="dxa" w:w="80"/>
              <w:right w:type="dxa" w:w="120"/>
            </w:tcMar>
          </w:tcPr>
          <w:p>
            <w:pPr>
              <w:spacing w:after="0"/>
            </w:pPr>
            <w:r>
              <w:rPr>
                <w:b w:val="false"/>
                <w:bCs w:val="false"/>
                <w:sz w:val="19"/>
                <w:szCs w:val="19"/>
              </w:rPr>
              <w:t xml:space="preserve">Through M11.</w:t>
            </w:r>
          </w:p>
        </w:tc>
      </w:tr>
    </w:tbl>
    <w:p>
      <w:pPr>
        <w:spacing w:after="100"/>
      </w:pPr>
      <w:r>
        <w:t xml:space="preserve">Calendar time depends entirely on hours available per week, which is the largest single variable in this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DF2" w:color="auto" w:val="clear"/>
            <w:tcMar>
              <w:top w:type="dxa" w:w="80"/>
              <w:left w:type="dxa" w:w="120"/>
              <w:bottom w:type="dxa" w:w="80"/>
              <w:right w:type="dxa" w:w="120"/>
            </w:tcMar>
          </w:tcPr>
          <w:p>
            <w:pPr>
              <w:spacing w:after="0"/>
            </w:pPr>
            <w:r>
              <w:rPr>
                <w:b/>
                <w:bCs/>
                <w:sz w:val="19"/>
                <w:szCs w:val="19"/>
              </w:rPr>
              <w:t xml:space="preserve">Focused hours per week</w:t>
            </w:r>
          </w:p>
        </w:tc>
        <w:tc>
          <w:tcPr>
            <w:tcW w:type="dxa" w:w="2340"/>
            <w:shd w:fill="E8EDF2" w:color="auto" w:val="clear"/>
            <w:tcMar>
              <w:top w:type="dxa" w:w="80"/>
              <w:left w:type="dxa" w:w="120"/>
              <w:bottom w:type="dxa" w:w="80"/>
              <w:right w:type="dxa" w:w="120"/>
            </w:tcMar>
          </w:tcPr>
          <w:p>
            <w:pPr>
              <w:spacing w:after="0"/>
            </w:pPr>
            <w:r>
              <w:rPr>
                <w:b/>
                <w:bCs/>
                <w:sz w:val="19"/>
                <w:szCs w:val="19"/>
              </w:rPr>
              <w:t xml:space="preserve">D1 — demo</w:t>
            </w:r>
          </w:p>
        </w:tc>
        <w:tc>
          <w:tcPr>
            <w:tcW w:type="dxa" w:w="2340"/>
            <w:shd w:fill="E8EDF2" w:color="auto" w:val="clear"/>
            <w:tcMar>
              <w:top w:type="dxa" w:w="80"/>
              <w:left w:type="dxa" w:w="120"/>
              <w:bottom w:type="dxa" w:w="80"/>
              <w:right w:type="dxa" w:w="120"/>
            </w:tcMar>
          </w:tcPr>
          <w:p>
            <w:pPr>
              <w:spacing w:after="0"/>
            </w:pPr>
            <w:r>
              <w:rPr>
                <w:b/>
                <w:bCs/>
                <w:sz w:val="19"/>
                <w:szCs w:val="19"/>
              </w:rPr>
              <w:t xml:space="preserve">P1 — first workflow live</w:t>
            </w:r>
          </w:p>
        </w:tc>
        <w:tc>
          <w:tcPr>
            <w:tcW w:type="dxa" w:w="2340"/>
            <w:shd w:fill="E8EDF2" w:color="auto" w:val="clear"/>
            <w:tcMar>
              <w:top w:type="dxa" w:w="80"/>
              <w:left w:type="dxa" w:w="120"/>
              <w:bottom w:type="dxa" w:w="80"/>
              <w:right w:type="dxa" w:w="120"/>
            </w:tcMar>
          </w:tcPr>
          <w:p>
            <w:pPr>
              <w:spacing w:after="0"/>
            </w:pPr>
            <w:r>
              <w:rPr>
                <w:b/>
                <w:bCs/>
                <w:sz w:val="19"/>
                <w:szCs w:val="19"/>
              </w:rPr>
              <w:t xml:space="preserve">P2 — Phase 1 complete</w:t>
            </w:r>
          </w:p>
        </w:tc>
      </w:tr>
      <w:tr>
        <w:tc>
          <w:tcPr>
            <w:tcW w:type="dxa" w:w="2340"/>
            <w:tcMar>
              <w:top w:type="dxa" w:w="80"/>
              <w:left w:type="dxa" w:w="120"/>
              <w:bottom w:type="dxa" w:w="80"/>
              <w:right w:type="dxa" w:w="120"/>
            </w:tcMar>
          </w:tcPr>
          <w:p>
            <w:pPr>
              <w:spacing w:after="0"/>
            </w:pPr>
            <w:r>
              <w:rPr>
                <w:b w:val="false"/>
                <w:bCs w:val="false"/>
                <w:sz w:val="19"/>
                <w:szCs w:val="19"/>
              </w:rPr>
              <w:t xml:space="preserve">10 hrs</w:t>
            </w:r>
          </w:p>
        </w:tc>
        <w:tc>
          <w:tcPr>
            <w:tcW w:type="dxa" w:w="2340"/>
            <w:tcMar>
              <w:top w:type="dxa" w:w="80"/>
              <w:left w:type="dxa" w:w="120"/>
              <w:bottom w:type="dxa" w:w="80"/>
              <w:right w:type="dxa" w:w="120"/>
            </w:tcMar>
          </w:tcPr>
          <w:p>
            <w:pPr>
              <w:spacing w:after="0"/>
            </w:pPr>
            <w:r>
              <w:rPr>
                <w:b w:val="false"/>
                <w:bCs w:val="false"/>
                <w:sz w:val="19"/>
                <w:szCs w:val="19"/>
              </w:rPr>
              <w:t xml:space="preserve">2 – 5 months</w:t>
            </w:r>
          </w:p>
        </w:tc>
        <w:tc>
          <w:tcPr>
            <w:tcW w:type="dxa" w:w="2340"/>
            <w:tcMar>
              <w:top w:type="dxa" w:w="80"/>
              <w:left w:type="dxa" w:w="120"/>
              <w:bottom w:type="dxa" w:w="80"/>
              <w:right w:type="dxa" w:w="120"/>
            </w:tcMar>
          </w:tcPr>
          <w:p>
            <w:pPr>
              <w:spacing w:after="0"/>
            </w:pPr>
            <w:r>
              <w:rPr>
                <w:b w:val="false"/>
                <w:bCs w:val="false"/>
                <w:sz w:val="19"/>
                <w:szCs w:val="19"/>
              </w:rPr>
              <w:t xml:space="preserve">28 – 48 months</w:t>
            </w:r>
          </w:p>
        </w:tc>
        <w:tc>
          <w:tcPr>
            <w:tcW w:type="dxa" w:w="2340"/>
            <w:tcMar>
              <w:top w:type="dxa" w:w="80"/>
              <w:left w:type="dxa" w:w="120"/>
              <w:bottom w:type="dxa" w:w="80"/>
              <w:right w:type="dxa" w:w="120"/>
            </w:tcMar>
          </w:tcPr>
          <w:p>
            <w:pPr>
              <w:spacing w:after="0"/>
            </w:pPr>
            <w:r>
              <w:rPr>
                <w:b w:val="false"/>
                <w:bCs w:val="false"/>
                <w:sz w:val="19"/>
                <w:szCs w:val="19"/>
              </w:rPr>
              <w:t xml:space="preserve">39 – 65 months</w:t>
            </w:r>
          </w:p>
        </w:tc>
      </w:tr>
      <w:tr>
        <w:tc>
          <w:tcPr>
            <w:tcW w:type="dxa" w:w="2340"/>
            <w:tcMar>
              <w:top w:type="dxa" w:w="80"/>
              <w:left w:type="dxa" w:w="120"/>
              <w:bottom w:type="dxa" w:w="80"/>
              <w:right w:type="dxa" w:w="120"/>
            </w:tcMar>
          </w:tcPr>
          <w:p>
            <w:pPr>
              <w:spacing w:after="0"/>
            </w:pPr>
            <w:r>
              <w:rPr>
                <w:b w:val="false"/>
                <w:bCs w:val="false"/>
                <w:sz w:val="19"/>
                <w:szCs w:val="19"/>
              </w:rPr>
              <w:t xml:space="preserve">20 hrs</w:t>
            </w:r>
          </w:p>
        </w:tc>
        <w:tc>
          <w:tcPr>
            <w:tcW w:type="dxa" w:w="2340"/>
            <w:tcMar>
              <w:top w:type="dxa" w:w="80"/>
              <w:left w:type="dxa" w:w="120"/>
              <w:bottom w:type="dxa" w:w="80"/>
              <w:right w:type="dxa" w:w="120"/>
            </w:tcMar>
          </w:tcPr>
          <w:p>
            <w:pPr>
              <w:spacing w:after="0"/>
            </w:pPr>
            <w:r>
              <w:rPr>
                <w:b w:val="false"/>
                <w:bCs w:val="false"/>
                <w:sz w:val="19"/>
                <w:szCs w:val="19"/>
              </w:rPr>
              <w:t xml:space="preserve">1 – 2.5 months</w:t>
            </w:r>
          </w:p>
        </w:tc>
        <w:tc>
          <w:tcPr>
            <w:tcW w:type="dxa" w:w="2340"/>
            <w:tcMar>
              <w:top w:type="dxa" w:w="80"/>
              <w:left w:type="dxa" w:w="120"/>
              <w:bottom w:type="dxa" w:w="80"/>
              <w:right w:type="dxa" w:w="120"/>
            </w:tcMar>
          </w:tcPr>
          <w:p>
            <w:pPr>
              <w:spacing w:after="0"/>
            </w:pPr>
            <w:r>
              <w:rPr>
                <w:b w:val="false"/>
                <w:bCs w:val="false"/>
                <w:sz w:val="19"/>
                <w:szCs w:val="19"/>
              </w:rPr>
              <w:t xml:space="preserve">14 – 24 months</w:t>
            </w:r>
          </w:p>
        </w:tc>
        <w:tc>
          <w:tcPr>
            <w:tcW w:type="dxa" w:w="2340"/>
            <w:tcMar>
              <w:top w:type="dxa" w:w="80"/>
              <w:left w:type="dxa" w:w="120"/>
              <w:bottom w:type="dxa" w:w="80"/>
              <w:right w:type="dxa" w:w="120"/>
            </w:tcMar>
          </w:tcPr>
          <w:p>
            <w:pPr>
              <w:spacing w:after="0"/>
            </w:pPr>
            <w:r>
              <w:rPr>
                <w:b w:val="false"/>
                <w:bCs w:val="false"/>
                <w:sz w:val="19"/>
                <w:szCs w:val="19"/>
              </w:rPr>
              <w:t xml:space="preserve">19 – 33 months</w:t>
            </w:r>
          </w:p>
        </w:tc>
      </w:tr>
      <w:tr>
        <w:tc>
          <w:tcPr>
            <w:tcW w:type="dxa" w:w="2340"/>
            <w:tcMar>
              <w:top w:type="dxa" w:w="80"/>
              <w:left w:type="dxa" w:w="120"/>
              <w:bottom w:type="dxa" w:w="80"/>
              <w:right w:type="dxa" w:w="120"/>
            </w:tcMar>
          </w:tcPr>
          <w:p>
            <w:pPr>
              <w:spacing w:after="0"/>
            </w:pPr>
            <w:r>
              <w:rPr>
                <w:b w:val="false"/>
                <w:bCs w:val="false"/>
                <w:sz w:val="19"/>
                <w:szCs w:val="19"/>
              </w:rPr>
              <w:t xml:space="preserve">40 hrs</w:t>
            </w:r>
          </w:p>
        </w:tc>
        <w:tc>
          <w:tcPr>
            <w:tcW w:type="dxa" w:w="2340"/>
            <w:tcMar>
              <w:top w:type="dxa" w:w="80"/>
              <w:left w:type="dxa" w:w="120"/>
              <w:bottom w:type="dxa" w:w="80"/>
              <w:right w:type="dxa" w:w="120"/>
            </w:tcMar>
          </w:tcPr>
          <w:p>
            <w:pPr>
              <w:spacing w:after="0"/>
            </w:pPr>
            <w:r>
              <w:rPr>
                <w:b w:val="false"/>
                <w:bCs w:val="false"/>
                <w:sz w:val="19"/>
                <w:szCs w:val="19"/>
              </w:rPr>
              <w:t xml:space="preserve">2 – 5 weeks</w:t>
            </w:r>
          </w:p>
        </w:tc>
        <w:tc>
          <w:tcPr>
            <w:tcW w:type="dxa" w:w="2340"/>
            <w:tcMar>
              <w:top w:type="dxa" w:w="80"/>
              <w:left w:type="dxa" w:w="120"/>
              <w:bottom w:type="dxa" w:w="80"/>
              <w:right w:type="dxa" w:w="120"/>
            </w:tcMar>
          </w:tcPr>
          <w:p>
            <w:pPr>
              <w:spacing w:after="0"/>
            </w:pPr>
            <w:r>
              <w:rPr>
                <w:b w:val="false"/>
                <w:bCs w:val="false"/>
                <w:sz w:val="19"/>
                <w:szCs w:val="19"/>
              </w:rPr>
              <w:t xml:space="preserve">7 – 12 months</w:t>
            </w:r>
          </w:p>
        </w:tc>
        <w:tc>
          <w:tcPr>
            <w:tcW w:type="dxa" w:w="2340"/>
            <w:tcMar>
              <w:top w:type="dxa" w:w="80"/>
              <w:left w:type="dxa" w:w="120"/>
              <w:bottom w:type="dxa" w:w="80"/>
              <w:right w:type="dxa" w:w="120"/>
            </w:tcMar>
          </w:tcPr>
          <w:p>
            <w:pPr>
              <w:spacing w:after="0"/>
            </w:pPr>
            <w:r>
              <w:rPr>
                <w:b w:val="false"/>
                <w:bCs w:val="false"/>
                <w:sz w:val="19"/>
                <w:szCs w:val="19"/>
              </w:rPr>
              <w:t xml:space="preserve">10 – 16 months</w:t>
            </w:r>
          </w:p>
        </w:tc>
      </w:tr>
    </w:tbl>
    <w:p>
      <w:pPr>
        <w:spacing w:after="120"/>
      </w:pPr>
      <w:r>
        <w:rPr>
          <w:i/>
          <w:iCs/>
          <w:sz w:val="20"/>
          <w:szCs w:val="20"/>
        </w:rPr>
        <w:t xml:space="preserve">Observed pace as a cross-check: roughly the month of August 2026 produced the M01 implementation (with the debt PR still outstanding) plus the complete M02 design, ADR-011 and the frozen OI-007 catalogue — about four to seven engineering weeks of the plan above. If that pace is sustained, Phase 1 lands in the region of nine to fifteen months. If it halves, eighteen to thirty months. Recording actual hours per week for a few weeks would tighten this estimate more than any further analysis.</w:t>
      </w:r>
    </w:p>
    <w:p>
      <w:pPr>
        <w:spacing w:after="120"/>
      </w:pPr>
      <w:r>
        <w:rPr>
          <w:i/>
          <w:iCs/>
          <w:sz w:val="20"/>
          <w:szCs w:val="20"/>
        </w:rPr>
        <w:t xml:space="preserve">If the Phase 1 horizon is unacceptable, the available levers are: increase hours per week; reduce the first clinic’s live scope to fewer workflows while still demonstrating all four in the demo; narrow the M10 interface scope; or reduce the assurance process for non-PHI paths. The last of these should be considered carefully and probably rejected.</w:t>
      </w:r>
    </w:p>
    <w:p>
      <w:pPr>
        <w:pStyle w:val="Heading2"/>
        <w:spacing w:after="140" w:before="280"/>
      </w:pPr>
      <w:r>
        <w:t xml:space="preserve">6.4 Why the first workflow costs what it does</w:t>
      </w:r>
    </w:p>
    <w:p>
      <w:pPr>
        <w:spacing w:after="120"/>
      </w:pPr>
      <w:r>
        <w:t xml:space="preserve">The P1 figure is the one most worth challenging, so its composition is set out here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3260"/>
      </w:tblGrid>
      <w:tr>
        <w:trPr>
          <w:tblHeader/>
        </w:trPr>
        <w:tc>
          <w:tcPr>
            <w:tcW w:type="dxa" w:w="4600"/>
            <w:shd w:fill="E8EDF2" w:color="auto" w:val="clear"/>
            <w:tcMar>
              <w:top w:type="dxa" w:w="80"/>
              <w:left w:type="dxa" w:w="120"/>
              <w:bottom w:type="dxa" w:w="80"/>
              <w:right w:type="dxa" w:w="120"/>
            </w:tcMar>
          </w:tcPr>
          <w:p>
            <w:pPr>
              <w:spacing w:after="0"/>
            </w:pPr>
            <w:r>
              <w:rPr>
                <w:b/>
                <w:bCs/>
                <w:sz w:val="19"/>
                <w:szCs w:val="19"/>
              </w:rPr>
              <w:t xml:space="preserve">Component</w:t>
            </w:r>
          </w:p>
        </w:tc>
        <w:tc>
          <w:tcPr>
            <w:tcW w:type="dxa" w:w="1500"/>
            <w:shd w:fill="E8EDF2" w:color="auto" w:val="clear"/>
            <w:tcMar>
              <w:top w:type="dxa" w:w="80"/>
              <w:left w:type="dxa" w:w="120"/>
              <w:bottom w:type="dxa" w:w="80"/>
              <w:right w:type="dxa" w:w="120"/>
            </w:tcMar>
          </w:tcPr>
          <w:p>
            <w:pPr>
              <w:spacing w:after="0"/>
            </w:pPr>
            <w:r>
              <w:rPr>
                <w:b/>
                <w:bCs/>
                <w:sz w:val="19"/>
                <w:szCs w:val="19"/>
              </w:rPr>
              <w:t xml:space="preserve">Eng-weeks</w:t>
            </w:r>
          </w:p>
        </w:tc>
        <w:tc>
          <w:tcPr>
            <w:tcW w:type="dxa" w:w="3260"/>
            <w:shd w:fill="E8EDF2" w:color="auto" w:val="clear"/>
            <w:tcMar>
              <w:top w:type="dxa" w:w="80"/>
              <w:left w:type="dxa" w:w="120"/>
              <w:bottom w:type="dxa" w:w="80"/>
              <w:right w:type="dxa" w:w="120"/>
            </w:tcMar>
          </w:tcPr>
          <w:p>
            <w:pPr>
              <w:spacing w:after="0"/>
            </w:pPr>
            <w:r>
              <w:rPr>
                <w:b/>
                <w:bCs/>
                <w:sz w:val="19"/>
                <w:szCs w:val="19"/>
              </w:rPr>
              <w:t xml:space="preserve">Category</w:t>
            </w:r>
          </w:p>
        </w:tc>
      </w:tr>
      <w:tr>
        <w:tc>
          <w:tcPr>
            <w:tcW w:type="dxa" w:w="4600"/>
            <w:tcMar>
              <w:top w:type="dxa" w:w="80"/>
              <w:left w:type="dxa" w:w="120"/>
              <w:bottom w:type="dxa" w:w="80"/>
              <w:right w:type="dxa" w:w="120"/>
            </w:tcMar>
          </w:tcPr>
          <w:p>
            <w:pPr>
              <w:spacing w:after="0"/>
            </w:pPr>
            <w:r>
              <w:rPr>
                <w:b w:val="false"/>
                <w:bCs w:val="false"/>
                <w:sz w:val="19"/>
                <w:szCs w:val="19"/>
              </w:rPr>
              <w:t xml:space="preserve">M01 debt PR</w:t>
            </w:r>
          </w:p>
        </w:tc>
        <w:tc>
          <w:tcPr>
            <w:tcW w:type="dxa" w:w="1500"/>
            <w:tcMar>
              <w:top w:type="dxa" w:w="80"/>
              <w:left w:type="dxa" w:w="120"/>
              <w:bottom w:type="dxa" w:w="80"/>
              <w:right w:type="dxa" w:w="120"/>
            </w:tcMar>
          </w:tcPr>
          <w:p>
            <w:pPr>
              <w:spacing w:after="0"/>
            </w:pPr>
            <w:r>
              <w:rPr>
                <w:b w:val="false"/>
                <w:bCs w:val="false"/>
                <w:sz w:val="19"/>
                <w:szCs w:val="19"/>
              </w:rPr>
              <w:t xml:space="preserve">1.5 – 3</w:t>
            </w:r>
          </w:p>
        </w:tc>
        <w:tc>
          <w:tcPr>
            <w:tcW w:type="dxa" w:w="3260"/>
            <w:tcMar>
              <w:top w:type="dxa" w:w="80"/>
              <w:left w:type="dxa" w:w="120"/>
              <w:bottom w:type="dxa" w:w="80"/>
              <w:right w:type="dxa" w:w="120"/>
            </w:tcMar>
          </w:tcPr>
          <w:p>
            <w:pPr>
              <w:spacing w:after="0"/>
            </w:pPr>
            <w:r>
              <w:rPr>
                <w:b w:val="false"/>
                <w:bCs w:val="false"/>
                <w:sz w:val="19"/>
                <w:szCs w:val="19"/>
              </w:rPr>
              <w:t xml:space="preserve">Foundation</w:t>
            </w:r>
          </w:p>
        </w:tc>
      </w:tr>
      <w:tr>
        <w:tc>
          <w:tcPr>
            <w:tcW w:type="dxa" w:w="4600"/>
            <w:tcMar>
              <w:top w:type="dxa" w:w="80"/>
              <w:left w:type="dxa" w:w="120"/>
              <w:bottom w:type="dxa" w:w="80"/>
              <w:right w:type="dxa" w:w="120"/>
            </w:tcMar>
          </w:tcPr>
          <w:p>
            <w:pPr>
              <w:spacing w:after="0"/>
            </w:pPr>
            <w:r>
              <w:rPr>
                <w:b w:val="false"/>
                <w:bCs w:val="false"/>
                <w:sz w:val="19"/>
                <w:szCs w:val="19"/>
              </w:rPr>
              <w:t xml:space="preserve">M01 production readiness (legacy migration, identity, telemetry, runbooks)</w:t>
            </w:r>
          </w:p>
        </w:tc>
        <w:tc>
          <w:tcPr>
            <w:tcW w:type="dxa" w:w="1500"/>
            <w:tcMar>
              <w:top w:type="dxa" w:w="80"/>
              <w:left w:type="dxa" w:w="120"/>
              <w:bottom w:type="dxa" w:w="80"/>
              <w:right w:type="dxa" w:w="120"/>
            </w:tcMar>
          </w:tcPr>
          <w:p>
            <w:pPr>
              <w:spacing w:after="0"/>
            </w:pPr>
            <w:r>
              <w:rPr>
                <w:b w:val="false"/>
                <w:bCs w:val="false"/>
                <w:sz w:val="19"/>
                <w:szCs w:val="19"/>
              </w:rPr>
              <w:t xml:space="preserve">3 – 6</w:t>
            </w:r>
          </w:p>
        </w:tc>
        <w:tc>
          <w:tcPr>
            <w:tcW w:type="dxa" w:w="3260"/>
            <w:tcMar>
              <w:top w:type="dxa" w:w="80"/>
              <w:left w:type="dxa" w:w="120"/>
              <w:bottom w:type="dxa" w:w="80"/>
              <w:right w:type="dxa" w:w="120"/>
            </w:tcMar>
          </w:tcPr>
          <w:p>
            <w:pPr>
              <w:spacing w:after="0"/>
            </w:pPr>
            <w:r>
              <w:rPr>
                <w:b w:val="false"/>
                <w:bCs w:val="false"/>
                <w:sz w:val="19"/>
                <w:szCs w:val="19"/>
              </w:rPr>
              <w:t xml:space="preserve">Foundation</w:t>
            </w:r>
          </w:p>
        </w:tc>
      </w:tr>
      <w:tr>
        <w:tc>
          <w:tcPr>
            <w:tcW w:type="dxa" w:w="4600"/>
            <w:tcMar>
              <w:top w:type="dxa" w:w="80"/>
              <w:left w:type="dxa" w:w="120"/>
              <w:bottom w:type="dxa" w:w="80"/>
              <w:right w:type="dxa" w:w="120"/>
            </w:tcMar>
          </w:tcPr>
          <w:p>
            <w:pPr>
              <w:spacing w:after="0"/>
            </w:pPr>
            <w:r>
              <w:rPr>
                <w:b w:val="false"/>
                <w:bCs w:val="false"/>
                <w:sz w:val="19"/>
                <w:szCs w:val="19"/>
              </w:rPr>
              <w:t xml:space="preserve">M02 — Event and Operation Foundation</w:t>
            </w:r>
          </w:p>
        </w:tc>
        <w:tc>
          <w:tcPr>
            <w:tcW w:type="dxa" w:w="1500"/>
            <w:tcMar>
              <w:top w:type="dxa" w:w="80"/>
              <w:left w:type="dxa" w:w="120"/>
              <w:bottom w:type="dxa" w:w="80"/>
              <w:right w:type="dxa" w:w="120"/>
            </w:tcMar>
          </w:tcPr>
          <w:p>
            <w:pPr>
              <w:spacing w:after="0"/>
            </w:pPr>
            <w:r>
              <w:rPr>
                <w:b w:val="false"/>
                <w:bCs w:val="false"/>
                <w:sz w:val="19"/>
                <w:szCs w:val="19"/>
              </w:rPr>
              <w:t xml:space="preserve">4 – 7</w:t>
            </w:r>
          </w:p>
        </w:tc>
        <w:tc>
          <w:tcPr>
            <w:tcW w:type="dxa" w:w="3260"/>
            <w:tcMar>
              <w:top w:type="dxa" w:w="80"/>
              <w:left w:type="dxa" w:w="120"/>
              <w:bottom w:type="dxa" w:w="80"/>
              <w:right w:type="dxa" w:w="120"/>
            </w:tcMar>
          </w:tcPr>
          <w:p>
            <w:pPr>
              <w:spacing w:after="0"/>
            </w:pPr>
            <w:r>
              <w:rPr>
                <w:b w:val="false"/>
                <w:bCs w:val="false"/>
                <w:sz w:val="19"/>
                <w:szCs w:val="19"/>
              </w:rPr>
              <w:t xml:space="preserve">Foundation</w:t>
            </w:r>
          </w:p>
        </w:tc>
      </w:tr>
      <w:tr>
        <w:tc>
          <w:tcPr>
            <w:tcW w:type="dxa" w:w="4600"/>
            <w:tcMar>
              <w:top w:type="dxa" w:w="80"/>
              <w:left w:type="dxa" w:w="120"/>
              <w:bottom w:type="dxa" w:w="80"/>
              <w:right w:type="dxa" w:w="120"/>
            </w:tcMar>
          </w:tcPr>
          <w:p>
            <w:pPr>
              <w:spacing w:after="0"/>
            </w:pPr>
            <w:r>
              <w:rPr>
                <w:b w:val="false"/>
                <w:bCs w:val="false"/>
                <w:sz w:val="19"/>
                <w:szCs w:val="19"/>
              </w:rPr>
              <w:t xml:space="preserve">M03 — Webhook inbox and worker runtime</w:t>
            </w:r>
          </w:p>
        </w:tc>
        <w:tc>
          <w:tcPr>
            <w:tcW w:type="dxa" w:w="1500"/>
            <w:tcMar>
              <w:top w:type="dxa" w:w="80"/>
              <w:left w:type="dxa" w:w="120"/>
              <w:bottom w:type="dxa" w:w="80"/>
              <w:right w:type="dxa" w:w="120"/>
            </w:tcMar>
          </w:tcPr>
          <w:p>
            <w:pPr>
              <w:spacing w:after="0"/>
            </w:pPr>
            <w:r>
              <w:rPr>
                <w:b w:val="false"/>
                <w:bCs w:val="false"/>
                <w:sz w:val="19"/>
                <w:szCs w:val="19"/>
              </w:rPr>
              <w:t xml:space="preserve">3 – 5</w:t>
            </w:r>
          </w:p>
        </w:tc>
        <w:tc>
          <w:tcPr>
            <w:tcW w:type="dxa" w:w="3260"/>
            <w:tcMar>
              <w:top w:type="dxa" w:w="80"/>
              <w:left w:type="dxa" w:w="120"/>
              <w:bottom w:type="dxa" w:w="80"/>
              <w:right w:type="dxa" w:w="120"/>
            </w:tcMar>
          </w:tcPr>
          <w:p>
            <w:pPr>
              <w:spacing w:after="0"/>
            </w:pPr>
            <w:r>
              <w:rPr>
                <w:b w:val="false"/>
                <w:bCs w:val="false"/>
                <w:sz w:val="19"/>
                <w:szCs w:val="19"/>
              </w:rPr>
              <w:t xml:space="preserve">Foundation</w:t>
            </w:r>
          </w:p>
        </w:tc>
      </w:tr>
      <w:tr>
        <w:tc>
          <w:tcPr>
            <w:tcW w:type="dxa" w:w="4600"/>
            <w:tcMar>
              <w:top w:type="dxa" w:w="80"/>
              <w:left w:type="dxa" w:w="120"/>
              <w:bottom w:type="dxa" w:w="80"/>
              <w:right w:type="dxa" w:w="120"/>
            </w:tcMar>
          </w:tcPr>
          <w:p>
            <w:pPr>
              <w:spacing w:after="0"/>
            </w:pPr>
            <w:r>
              <w:rPr>
                <w:b w:val="false"/>
                <w:bCs w:val="false"/>
                <w:sz w:val="19"/>
                <w:szCs w:val="19"/>
              </w:rPr>
              <w:t xml:space="preserve">M04 — Tenant and provider routing</w:t>
            </w:r>
          </w:p>
        </w:tc>
        <w:tc>
          <w:tcPr>
            <w:tcW w:type="dxa" w:w="1500"/>
            <w:tcMar>
              <w:top w:type="dxa" w:w="80"/>
              <w:left w:type="dxa" w:w="120"/>
              <w:bottom w:type="dxa" w:w="80"/>
              <w:right w:type="dxa" w:w="120"/>
            </w:tcMar>
          </w:tcPr>
          <w:p>
            <w:pPr>
              <w:spacing w:after="0"/>
            </w:pPr>
            <w:r>
              <w:rPr>
                <w:b w:val="false"/>
                <w:bCs w:val="false"/>
                <w:sz w:val="19"/>
                <w:szCs w:val="19"/>
              </w:rPr>
              <w:t xml:space="preserve">2 – 4</w:t>
            </w:r>
          </w:p>
        </w:tc>
        <w:tc>
          <w:tcPr>
            <w:tcW w:type="dxa" w:w="3260"/>
            <w:tcMar>
              <w:top w:type="dxa" w:w="80"/>
              <w:left w:type="dxa" w:w="120"/>
              <w:bottom w:type="dxa" w:w="80"/>
              <w:right w:type="dxa" w:w="120"/>
            </w:tcMar>
          </w:tcPr>
          <w:p>
            <w:pPr>
              <w:spacing w:after="0"/>
            </w:pPr>
            <w:r>
              <w:rPr>
                <w:b w:val="false"/>
                <w:bCs w:val="false"/>
                <w:sz w:val="19"/>
                <w:szCs w:val="19"/>
              </w:rPr>
              <w:t xml:space="preserve">Foundation</w:t>
            </w:r>
          </w:p>
        </w:tc>
      </w:tr>
      <w:tr>
        <w:tc>
          <w:tcPr>
            <w:tcW w:type="dxa" w:w="4600"/>
            <w:tcMar>
              <w:top w:type="dxa" w:w="80"/>
              <w:left w:type="dxa" w:w="120"/>
              <w:bottom w:type="dxa" w:w="80"/>
              <w:right w:type="dxa" w:w="120"/>
            </w:tcMar>
          </w:tcPr>
          <w:p>
            <w:pPr>
              <w:spacing w:after="0"/>
            </w:pPr>
            <w:r>
              <w:rPr>
                <w:b w:val="false"/>
                <w:bCs w:val="false"/>
                <w:sz w:val="19"/>
                <w:szCs w:val="19"/>
              </w:rPr>
              <w:t xml:space="preserve">M05 — Work and error queues</w:t>
            </w:r>
          </w:p>
        </w:tc>
        <w:tc>
          <w:tcPr>
            <w:tcW w:type="dxa" w:w="1500"/>
            <w:tcMar>
              <w:top w:type="dxa" w:w="80"/>
              <w:left w:type="dxa" w:w="120"/>
              <w:bottom w:type="dxa" w:w="80"/>
              <w:right w:type="dxa" w:w="120"/>
            </w:tcMar>
          </w:tcPr>
          <w:p>
            <w:pPr>
              <w:spacing w:after="0"/>
            </w:pPr>
            <w:r>
              <w:rPr>
                <w:b w:val="false"/>
                <w:bCs w:val="false"/>
                <w:sz w:val="19"/>
                <w:szCs w:val="19"/>
              </w:rPr>
              <w:t xml:space="preserve">3 – 5</w:t>
            </w:r>
          </w:p>
        </w:tc>
        <w:tc>
          <w:tcPr>
            <w:tcW w:type="dxa" w:w="3260"/>
            <w:tcMar>
              <w:top w:type="dxa" w:w="80"/>
              <w:left w:type="dxa" w:w="120"/>
              <w:bottom w:type="dxa" w:w="80"/>
              <w:right w:type="dxa" w:w="120"/>
            </w:tcMar>
          </w:tcPr>
          <w:p>
            <w:pPr>
              <w:spacing w:after="0"/>
            </w:pPr>
            <w:r>
              <w:rPr>
                <w:b w:val="false"/>
                <w:bCs w:val="false"/>
                <w:sz w:val="19"/>
                <w:szCs w:val="19"/>
              </w:rPr>
              <w:t xml:space="preserve">Foundation</w:t>
            </w:r>
          </w:p>
        </w:tc>
      </w:tr>
      <w:tr>
        <w:tc>
          <w:tcPr>
            <w:tcW w:type="dxa" w:w="4600"/>
            <w:tcMar>
              <w:top w:type="dxa" w:w="80"/>
              <w:left w:type="dxa" w:w="120"/>
              <w:bottom w:type="dxa" w:w="80"/>
              <w:right w:type="dxa" w:w="120"/>
            </w:tcMar>
          </w:tcPr>
          <w:p>
            <w:pPr>
              <w:spacing w:after="0"/>
            </w:pPr>
            <w:r>
              <w:rPr>
                <w:b w:val="false"/>
                <w:bCs w:val="false"/>
                <w:sz w:val="19"/>
                <w:szCs w:val="19"/>
              </w:rPr>
              <w:t xml:space="preserve">M06 — Outbound operation and batch runtime</w:t>
            </w:r>
          </w:p>
        </w:tc>
        <w:tc>
          <w:tcPr>
            <w:tcW w:type="dxa" w:w="1500"/>
            <w:tcMar>
              <w:top w:type="dxa" w:w="80"/>
              <w:left w:type="dxa" w:w="120"/>
              <w:bottom w:type="dxa" w:w="80"/>
              <w:right w:type="dxa" w:w="120"/>
            </w:tcMar>
          </w:tcPr>
          <w:p>
            <w:pPr>
              <w:spacing w:after="0"/>
            </w:pPr>
            <w:r>
              <w:rPr>
                <w:b w:val="false"/>
                <w:bCs w:val="false"/>
                <w:sz w:val="19"/>
                <w:szCs w:val="19"/>
              </w:rPr>
              <w:t xml:space="preserve">4 – 6</w:t>
            </w:r>
          </w:p>
        </w:tc>
        <w:tc>
          <w:tcPr>
            <w:tcW w:type="dxa" w:w="3260"/>
            <w:tcMar>
              <w:top w:type="dxa" w:w="80"/>
              <w:left w:type="dxa" w:w="120"/>
              <w:bottom w:type="dxa" w:w="80"/>
              <w:right w:type="dxa" w:w="120"/>
            </w:tcMar>
          </w:tcPr>
          <w:p>
            <w:pPr>
              <w:spacing w:after="0"/>
            </w:pPr>
            <w:r>
              <w:rPr>
                <w:b w:val="false"/>
                <w:bCs w:val="false"/>
                <w:sz w:val="19"/>
                <w:szCs w:val="19"/>
              </w:rPr>
              <w:t xml:space="preserve">Foundation</w:t>
            </w:r>
          </w:p>
        </w:tc>
      </w:tr>
      <w:tr>
        <w:tc>
          <w:tcPr>
            <w:tcW w:type="dxa" w:w="4600"/>
            <w:tcMar>
              <w:top w:type="dxa" w:w="80"/>
              <w:left w:type="dxa" w:w="120"/>
              <w:bottom w:type="dxa" w:w="80"/>
              <w:right w:type="dxa" w:w="120"/>
            </w:tcMar>
          </w:tcPr>
          <w:p>
            <w:pPr>
              <w:spacing w:after="0"/>
            </w:pPr>
            <w:r>
              <w:rPr>
                <w:b w:val="false"/>
                <w:bCs w:val="false"/>
                <w:sz w:val="19"/>
                <w:szCs w:val="19"/>
              </w:rPr>
              <w:t xml:space="preserve">One workflow module (M07, the least expensive of the four)</w:t>
            </w:r>
          </w:p>
        </w:tc>
        <w:tc>
          <w:tcPr>
            <w:tcW w:type="dxa" w:w="1500"/>
            <w:tcMar>
              <w:top w:type="dxa" w:w="80"/>
              <w:left w:type="dxa" w:w="120"/>
              <w:bottom w:type="dxa" w:w="80"/>
              <w:right w:type="dxa" w:w="120"/>
            </w:tcMar>
          </w:tcPr>
          <w:p>
            <w:pPr>
              <w:spacing w:after="0"/>
            </w:pPr>
            <w:r>
              <w:rPr>
                <w:b w:val="false"/>
                <w:bCs w:val="false"/>
                <w:sz w:val="19"/>
                <w:szCs w:val="19"/>
              </w:rPr>
              <w:t xml:space="preserve">3 – 5</w:t>
            </w:r>
          </w:p>
        </w:tc>
        <w:tc>
          <w:tcPr>
            <w:tcW w:type="dxa" w:w="3260"/>
            <w:tcMar>
              <w:top w:type="dxa" w:w="80"/>
              <w:left w:type="dxa" w:w="120"/>
              <w:bottom w:type="dxa" w:w="80"/>
              <w:right w:type="dxa" w:w="120"/>
            </w:tcMar>
          </w:tcPr>
          <w:p>
            <w:pPr>
              <w:spacing w:after="0"/>
            </w:pPr>
            <w:r>
              <w:rPr>
                <w:b w:val="false"/>
                <w:bCs w:val="false"/>
                <w:sz w:val="19"/>
                <w:szCs w:val="19"/>
              </w:rPr>
              <w:t xml:space="preserve">Workflow</w:t>
            </w:r>
          </w:p>
        </w:tc>
      </w:tr>
      <w:tr>
        <w:tc>
          <w:tcPr>
            <w:tcW w:type="dxa" w:w="4600"/>
            <w:tcMar>
              <w:top w:type="dxa" w:w="80"/>
              <w:left w:type="dxa" w:w="120"/>
              <w:bottom w:type="dxa" w:w="80"/>
              <w:right w:type="dxa" w:w="120"/>
            </w:tcMar>
          </w:tcPr>
          <w:p>
            <w:pPr>
              <w:spacing w:after="0"/>
            </w:pPr>
            <w:r>
              <w:rPr>
                <w:b w:val="false"/>
                <w:bCs w:val="false"/>
                <w:sz w:val="19"/>
                <w:szCs w:val="19"/>
              </w:rPr>
              <w:t xml:space="preserve">Minimum M10 staff-facing surface</w:t>
            </w:r>
          </w:p>
        </w:tc>
        <w:tc>
          <w:tcPr>
            <w:tcW w:type="dxa" w:w="1500"/>
            <w:tcMar>
              <w:top w:type="dxa" w:w="80"/>
              <w:left w:type="dxa" w:w="120"/>
              <w:bottom w:type="dxa" w:w="80"/>
              <w:right w:type="dxa" w:w="120"/>
            </w:tcMar>
          </w:tcPr>
          <w:p>
            <w:pPr>
              <w:spacing w:after="0"/>
            </w:pPr>
            <w:r>
              <w:rPr>
                <w:b w:val="false"/>
                <w:bCs w:val="false"/>
                <w:sz w:val="19"/>
                <w:szCs w:val="19"/>
              </w:rPr>
              <w:t xml:space="preserve">3 – 6</w:t>
            </w:r>
          </w:p>
        </w:tc>
        <w:tc>
          <w:tcPr>
            <w:tcW w:type="dxa" w:w="3260"/>
            <w:tcMar>
              <w:top w:type="dxa" w:w="80"/>
              <w:left w:type="dxa" w:w="120"/>
              <w:bottom w:type="dxa" w:w="80"/>
              <w:right w:type="dxa" w:w="120"/>
            </w:tcMar>
          </w:tcPr>
          <w:p>
            <w:pPr>
              <w:spacing w:after="0"/>
            </w:pPr>
            <w:r>
              <w:rPr>
                <w:b w:val="false"/>
                <w:bCs w:val="false"/>
                <w:sz w:val="19"/>
                <w:szCs w:val="19"/>
              </w:rPr>
              <w:t xml:space="preserve">Foundation</w:t>
            </w:r>
          </w:p>
        </w:tc>
      </w:tr>
      <w:tr>
        <w:tc>
          <w:tcPr>
            <w:tcW w:type="dxa" w:w="4600"/>
            <w:tcMar>
              <w:top w:type="dxa" w:w="80"/>
              <w:left w:type="dxa" w:w="120"/>
              <w:bottom w:type="dxa" w:w="80"/>
              <w:right w:type="dxa" w:w="120"/>
            </w:tcMar>
          </w:tcPr>
          <w:p>
            <w:pPr>
              <w:spacing w:after="0"/>
            </w:pPr>
            <w:r>
              <w:rPr>
                <w:b w:val="false"/>
                <w:bCs w:val="false"/>
                <w:sz w:val="19"/>
                <w:szCs w:val="19"/>
              </w:rPr>
              <w:t xml:space="preserve">M11 slice needed to operate it safely</w:t>
            </w:r>
          </w:p>
        </w:tc>
        <w:tc>
          <w:tcPr>
            <w:tcW w:type="dxa" w:w="1500"/>
            <w:tcMar>
              <w:top w:type="dxa" w:w="80"/>
              <w:left w:type="dxa" w:w="120"/>
              <w:bottom w:type="dxa" w:w="80"/>
              <w:right w:type="dxa" w:w="120"/>
            </w:tcMar>
          </w:tcPr>
          <w:p>
            <w:pPr>
              <w:spacing w:after="0"/>
            </w:pPr>
            <w:r>
              <w:rPr>
                <w:b w:val="false"/>
                <w:bCs w:val="false"/>
                <w:sz w:val="19"/>
                <w:szCs w:val="19"/>
              </w:rPr>
              <w:t xml:space="preserve">3 – 5</w:t>
            </w:r>
          </w:p>
        </w:tc>
        <w:tc>
          <w:tcPr>
            <w:tcW w:type="dxa" w:w="3260"/>
            <w:tcMar>
              <w:top w:type="dxa" w:w="80"/>
              <w:left w:type="dxa" w:w="120"/>
              <w:bottom w:type="dxa" w:w="80"/>
              <w:right w:type="dxa" w:w="120"/>
            </w:tcMar>
          </w:tcPr>
          <w:p>
            <w:pPr>
              <w:spacing w:after="0"/>
            </w:pPr>
            <w:r>
              <w:rPr>
                <w:b w:val="false"/>
                <w:bCs w:val="false"/>
                <w:sz w:val="19"/>
                <w:szCs w:val="19"/>
              </w:rPr>
              <w:t xml:space="preserve">Foundation</w:t>
            </w:r>
          </w:p>
        </w:tc>
      </w:tr>
      <w:tr>
        <w:tc>
          <w:tcPr>
            <w:tcW w:type="dxa" w:w="4600"/>
            <w:tcMar>
              <w:top w:type="dxa" w:w="80"/>
              <w:left w:type="dxa" w:w="120"/>
              <w:bottom w:type="dxa" w:w="80"/>
              <w:right w:type="dxa" w:w="120"/>
            </w:tcMar>
          </w:tcPr>
          <w:p>
            <w:pPr>
              <w:spacing w:after="0"/>
            </w:pPr>
            <w:r>
              <w:rPr>
                <w:b w:val="false"/>
                <w:bCs w:val="false"/>
                <w:sz w:val="19"/>
                <w:szCs w:val="19"/>
              </w:rPr>
              <w:t xml:space="preserve">Total</w:t>
            </w:r>
          </w:p>
        </w:tc>
        <w:tc>
          <w:tcPr>
            <w:tcW w:type="dxa" w:w="1500"/>
            <w:tcMar>
              <w:top w:type="dxa" w:w="80"/>
              <w:left w:type="dxa" w:w="120"/>
              <w:bottom w:type="dxa" w:w="80"/>
              <w:right w:type="dxa" w:w="120"/>
            </w:tcMar>
          </w:tcPr>
          <w:p>
            <w:pPr>
              <w:spacing w:after="0"/>
            </w:pPr>
            <w:r>
              <w:rPr>
                <w:b w:val="false"/>
                <w:bCs w:val="false"/>
                <w:sz w:val="19"/>
                <w:szCs w:val="19"/>
              </w:rPr>
              <w:t xml:space="preserve">30 – 52</w:t>
            </w:r>
          </w:p>
        </w:tc>
        <w:tc>
          <w:tcPr>
            <w:tcW w:type="dxa" w:w="3260"/>
            <w:tcMar>
              <w:top w:type="dxa" w:w="80"/>
              <w:left w:type="dxa" w:w="120"/>
              <w:bottom w:type="dxa" w:w="80"/>
              <w:right w:type="dxa" w:w="120"/>
            </w:tcMar>
          </w:tcPr>
          <w:p>
            <w:pPr>
              <w:spacing w:after="0"/>
            </w:pPr>
            <w:r>
              <w:rPr>
                <w:b w:val="false"/>
                <w:bCs w:val="false"/>
                <w:sz w:val="19"/>
                <w:szCs w:val="19"/>
              </w:rPr>
              <w:t xml:space="preserve">—</w:t>
            </w:r>
          </w:p>
        </w:tc>
      </w:tr>
    </w:tbl>
    <w:p>
      <w:pPr>
        <w:spacing w:after="120"/>
      </w:pPr>
      <w:r>
        <w:t xml:space="preserve">The workflow itself accounts for only three to five weeks. Roughly 85 per cent of the figure is infrastructure that must exist before any workflow can run, and that ordering is not an assumption imposed here — it follows the dependency register in the module tracker, where M07 depends on M03, M04, M05 and M06, which in turn depend on M01 and M02. Seven modules sit ahead of the first workflow by design.</w:t>
      </w:r>
    </w:p>
    <w:p>
      <w:pPr>
        <w:spacing w:after="120"/>
      </w:pPr>
      <w:r>
        <w:t xml:space="preserve">The reason is a deliberate architectural choice already taken: M01 is tenant isolation, and the programme builds a multi-tenant, PHI-grade platform first and the workflows last. This front-loads cost onto the first clinic and makes every subsequent clinic cheap. It is the decision that avoids building a single-clinic prototype and then rewriting it into a product.</w:t>
      </w:r>
    </w:p>
    <w:p>
      <w:pPr>
        <w:spacing w:after="120"/>
      </w:pPr>
      <w:r>
        <w:t xml:space="preserve">If the near-term goal were one pilot clinic rather than a sellable multi-tenant service, several components could be reduced to pilot grade: M04 is largely degenerate with a single tenant; M06 is sized for concurrency and volume that one clinic may not generate initially; parts of M01 production readiness concern operating a service rather than running one pilot; and the M11 slice could be thinner. That could plausibly bring P1 to roughly 20–35 engineering weeks.</w:t>
      </w:r>
    </w:p>
    <w:p>
      <w:pPr>
        <w:spacing w:after="120"/>
      </w:pPr>
      <w:r>
        <w:rPr>
          <w:i/>
          <w:iCs/>
          <w:sz w:val="20"/>
          <w:szCs w:val="20"/>
        </w:rPr>
        <w:t xml:space="preserve">Each of those reductions is deferred work that would have to be repaid before the second clinic, and avoiding precisely that debt is why M01 exists. The trade is recorded here rather than recommended. The more useful observation is that the demo (D1) requires none of this foundation, so contact with clinics need not wait on P1 at all.</w:t>
      </w:r>
    </w:p>
    <w:p>
      <w:pPr>
        <w:pStyle w:val="Heading1"/>
        <w:spacing w:after="140" w:before="280"/>
      </w:pPr>
      <w:r>
        <w:t xml:space="preserve">7. External Enablement — often the real critical path</w:t>
      </w:r>
    </w:p>
    <w:p>
      <w:pPr>
        <w:spacing w:after="120"/>
      </w:pPr>
      <w:r>
        <w:t xml:space="preserve">These items consume calendar time regardless of development speed, and several block go-live. Durations below are planning placeholders to be confirmed with each vendor and payer; they are not verified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4160"/>
      </w:tblGrid>
      <w:tr>
        <w:trPr>
          <w:tblHeader/>
        </w:trPr>
        <w:tc>
          <w:tcPr>
            <w:tcW w:type="dxa" w:w="3100"/>
            <w:shd w:fill="E8EDF2" w:color="auto" w:val="clear"/>
            <w:tcMar>
              <w:top w:type="dxa" w:w="80"/>
              <w:left w:type="dxa" w:w="120"/>
              <w:bottom w:type="dxa" w:w="80"/>
              <w:right w:type="dxa" w:w="120"/>
            </w:tcMar>
          </w:tcPr>
          <w:p>
            <w:pPr>
              <w:spacing w:after="0"/>
            </w:pPr>
            <w:r>
              <w:rPr>
                <w:b/>
                <w:bCs/>
                <w:sz w:val="19"/>
                <w:szCs w:val="19"/>
              </w:rPr>
              <w:t xml:space="preserve">Item</w:t>
            </w:r>
          </w:p>
        </w:tc>
        <w:tc>
          <w:tcPr>
            <w:tcW w:type="dxa" w:w="2100"/>
            <w:shd w:fill="E8EDF2" w:color="auto" w:val="clear"/>
            <w:tcMar>
              <w:top w:type="dxa" w:w="80"/>
              <w:left w:type="dxa" w:w="120"/>
              <w:bottom w:type="dxa" w:w="80"/>
              <w:right w:type="dxa" w:w="120"/>
            </w:tcMar>
          </w:tcPr>
          <w:p>
            <w:pPr>
              <w:spacing w:after="0"/>
            </w:pPr>
            <w:r>
              <w:rPr>
                <w:b/>
                <w:bCs/>
                <w:sz w:val="19"/>
                <w:szCs w:val="19"/>
              </w:rPr>
              <w:t xml:space="preserve">Planning allowance</w:t>
            </w:r>
          </w:p>
        </w:tc>
        <w:tc>
          <w:tcPr>
            <w:tcW w:type="dxa" w:w="4160"/>
            <w:shd w:fill="E8EDF2" w:color="auto" w:val="clear"/>
            <w:tcMar>
              <w:top w:type="dxa" w:w="80"/>
              <w:left w:type="dxa" w:w="120"/>
              <w:bottom w:type="dxa" w:w="80"/>
              <w:right w:type="dxa" w:w="120"/>
            </w:tcMar>
          </w:tcPr>
          <w:p>
            <w:pPr>
              <w:spacing w:after="0"/>
            </w:pPr>
            <w:r>
              <w:rPr>
                <w:b/>
                <w:bCs/>
                <w:sz w:val="19"/>
                <w:szCs w:val="19"/>
              </w:rPr>
              <w:t xml:space="preserve">Notes</w:t>
            </w:r>
          </w:p>
        </w:tc>
      </w:tr>
      <w:tr>
        <w:tc>
          <w:tcPr>
            <w:tcW w:type="dxa" w:w="3100"/>
            <w:tcMar>
              <w:top w:type="dxa" w:w="80"/>
              <w:left w:type="dxa" w:w="120"/>
              <w:bottom w:type="dxa" w:w="80"/>
              <w:right w:type="dxa" w:w="120"/>
            </w:tcMar>
          </w:tcPr>
          <w:p>
            <w:pPr>
              <w:spacing w:after="0"/>
            </w:pPr>
            <w:r>
              <w:rPr>
                <w:b w:val="false"/>
                <w:bCs w:val="false"/>
                <w:sz w:val="19"/>
                <w:szCs w:val="19"/>
              </w:rPr>
              <w:t xml:space="preserve">Cloud hosting BAA</w:t>
            </w:r>
          </w:p>
        </w:tc>
        <w:tc>
          <w:tcPr>
            <w:tcW w:type="dxa" w:w="2100"/>
            <w:tcMar>
              <w:top w:type="dxa" w:w="80"/>
              <w:left w:type="dxa" w:w="120"/>
              <w:bottom w:type="dxa" w:w="80"/>
              <w:right w:type="dxa" w:w="120"/>
            </w:tcMar>
          </w:tcPr>
          <w:p>
            <w:pPr>
              <w:spacing w:after="0"/>
            </w:pPr>
            <w:r>
              <w:rPr>
                <w:b w:val="false"/>
                <w:bCs w:val="false"/>
                <w:sz w:val="19"/>
                <w:szCs w:val="19"/>
              </w:rPr>
              <w:t xml:space="preserve">Days</w:t>
            </w:r>
          </w:p>
        </w:tc>
        <w:tc>
          <w:tcPr>
            <w:tcW w:type="dxa" w:w="4160"/>
            <w:tcMar>
              <w:top w:type="dxa" w:w="80"/>
              <w:left w:type="dxa" w:w="120"/>
              <w:bottom w:type="dxa" w:w="80"/>
              <w:right w:type="dxa" w:w="120"/>
            </w:tcMar>
          </w:tcPr>
          <w:p>
            <w:pPr>
              <w:spacing w:after="0"/>
            </w:pPr>
            <w:r>
              <w:rPr>
                <w:b w:val="false"/>
                <w:bCs w:val="false"/>
                <w:sz w:val="19"/>
                <w:szCs w:val="19"/>
              </w:rPr>
              <w:t xml:space="preserve">Self-serve.</w:t>
            </w:r>
          </w:p>
        </w:tc>
      </w:tr>
      <w:tr>
        <w:tc>
          <w:tcPr>
            <w:tcW w:type="dxa" w:w="3100"/>
            <w:tcMar>
              <w:top w:type="dxa" w:w="80"/>
              <w:left w:type="dxa" w:w="120"/>
              <w:bottom w:type="dxa" w:w="80"/>
              <w:right w:type="dxa" w:w="120"/>
            </w:tcMar>
          </w:tcPr>
          <w:p>
            <w:pPr>
              <w:spacing w:after="0"/>
            </w:pPr>
            <w:r>
              <w:rPr>
                <w:b w:val="false"/>
                <w:bCs w:val="false"/>
                <w:sz w:val="19"/>
                <w:szCs w:val="19"/>
              </w:rPr>
              <w:t xml:space="preserve">BAA with the clinic</w:t>
            </w:r>
          </w:p>
        </w:tc>
        <w:tc>
          <w:tcPr>
            <w:tcW w:type="dxa" w:w="2100"/>
            <w:tcMar>
              <w:top w:type="dxa" w:w="80"/>
              <w:left w:type="dxa" w:w="120"/>
              <w:bottom w:type="dxa" w:w="80"/>
              <w:right w:type="dxa" w:w="120"/>
            </w:tcMar>
          </w:tcPr>
          <w:p>
            <w:pPr>
              <w:spacing w:after="0"/>
            </w:pPr>
            <w:r>
              <w:rPr>
                <w:b w:val="false"/>
                <w:bCs w:val="false"/>
                <w:sz w:val="19"/>
                <w:szCs w:val="19"/>
              </w:rPr>
              <w:t xml:space="preserve">Days – 2 weeks</w:t>
            </w:r>
          </w:p>
        </w:tc>
        <w:tc>
          <w:tcPr>
            <w:tcW w:type="dxa" w:w="4160"/>
            <w:tcMar>
              <w:top w:type="dxa" w:w="80"/>
              <w:left w:type="dxa" w:w="120"/>
              <w:bottom w:type="dxa" w:w="80"/>
              <w:right w:type="dxa" w:w="120"/>
            </w:tcMar>
          </w:tcPr>
          <w:p>
            <w:pPr>
              <w:spacing w:after="0"/>
            </w:pPr>
            <w:r>
              <w:rPr>
                <w:b w:val="false"/>
                <w:bCs w:val="false"/>
                <w:sz w:val="19"/>
                <w:szCs w:val="19"/>
              </w:rPr>
              <w:t xml:space="preserve">Required before any PHI is touched.</w:t>
            </w:r>
          </w:p>
        </w:tc>
      </w:tr>
      <w:tr>
        <w:tc>
          <w:tcPr>
            <w:tcW w:type="dxa" w:w="3100"/>
            <w:tcMar>
              <w:top w:type="dxa" w:w="80"/>
              <w:left w:type="dxa" w:w="120"/>
              <w:bottom w:type="dxa" w:w="80"/>
              <w:right w:type="dxa" w:w="120"/>
            </w:tcMar>
          </w:tcPr>
          <w:p>
            <w:pPr>
              <w:spacing w:after="0"/>
            </w:pPr>
            <w:r>
              <w:rPr>
                <w:b w:val="false"/>
                <w:bCs w:val="false"/>
                <w:sz w:val="19"/>
                <w:szCs w:val="19"/>
              </w:rPr>
              <w:t xml:space="preserve">Cloud fax vendor and BAA</w:t>
            </w:r>
          </w:p>
        </w:tc>
        <w:tc>
          <w:tcPr>
            <w:tcW w:type="dxa" w:w="2100"/>
            <w:tcMar>
              <w:top w:type="dxa" w:w="80"/>
              <w:left w:type="dxa" w:w="120"/>
              <w:bottom w:type="dxa" w:w="80"/>
              <w:right w:type="dxa" w:w="120"/>
            </w:tcMar>
          </w:tcPr>
          <w:p>
            <w:pPr>
              <w:spacing w:after="0"/>
            </w:pPr>
            <w:r>
              <w:rPr>
                <w:b w:val="false"/>
                <w:bCs w:val="false"/>
                <w:sz w:val="19"/>
                <w:szCs w:val="19"/>
              </w:rPr>
              <w:t xml:space="preserve">1 – 2 weeks</w:t>
            </w:r>
          </w:p>
        </w:tc>
        <w:tc>
          <w:tcPr>
            <w:tcW w:type="dxa" w:w="4160"/>
            <w:tcMar>
              <w:top w:type="dxa" w:w="80"/>
              <w:left w:type="dxa" w:w="120"/>
              <w:bottom w:type="dxa" w:w="80"/>
              <w:right w:type="dxa" w:w="120"/>
            </w:tcMar>
          </w:tcPr>
          <w:p>
            <w:pPr>
              <w:spacing w:after="0"/>
            </w:pPr>
            <w:r>
              <w:rPr>
                <w:b w:val="false"/>
                <w:bCs w:val="false"/>
                <w:sz w:val="19"/>
                <w:szCs w:val="19"/>
              </w:rPr>
              <w:t xml:space="preserve">Clinic must already be on digital fax, or migration comes first.</w:t>
            </w:r>
          </w:p>
        </w:tc>
      </w:tr>
      <w:tr>
        <w:tc>
          <w:tcPr>
            <w:tcW w:type="dxa" w:w="3100"/>
            <w:tcMar>
              <w:top w:type="dxa" w:w="80"/>
              <w:left w:type="dxa" w:w="120"/>
              <w:bottom w:type="dxa" w:w="80"/>
              <w:right w:type="dxa" w:w="120"/>
            </w:tcMar>
          </w:tcPr>
          <w:p>
            <w:pPr>
              <w:spacing w:after="0"/>
            </w:pPr>
            <w:r>
              <w:rPr>
                <w:b w:val="false"/>
                <w:bCs w:val="false"/>
                <w:sz w:val="19"/>
                <w:szCs w:val="19"/>
              </w:rPr>
              <w:t xml:space="preserve">Messaging registration (A2P brand and campaign)</w:t>
            </w:r>
          </w:p>
        </w:tc>
        <w:tc>
          <w:tcPr>
            <w:tcW w:type="dxa" w:w="2100"/>
            <w:tcMar>
              <w:top w:type="dxa" w:w="80"/>
              <w:left w:type="dxa" w:w="120"/>
              <w:bottom w:type="dxa" w:w="80"/>
              <w:right w:type="dxa" w:w="120"/>
            </w:tcMar>
          </w:tcPr>
          <w:p>
            <w:pPr>
              <w:spacing w:after="0"/>
            </w:pPr>
            <w:r>
              <w:rPr>
                <w:b w:val="false"/>
                <w:bCs w:val="false"/>
                <w:sz w:val="19"/>
                <w:szCs w:val="19"/>
              </w:rPr>
              <w:t xml:space="preserve">Weeks</w:t>
            </w:r>
          </w:p>
        </w:tc>
        <w:tc>
          <w:tcPr>
            <w:tcW w:type="dxa" w:w="4160"/>
            <w:tcMar>
              <w:top w:type="dxa" w:w="80"/>
              <w:left w:type="dxa" w:w="120"/>
              <w:bottom w:type="dxa" w:w="80"/>
              <w:right w:type="dxa" w:w="120"/>
            </w:tcMar>
          </w:tcPr>
          <w:p>
            <w:pPr>
              <w:spacing w:after="0"/>
            </w:pPr>
            <w:r>
              <w:rPr>
                <w:b w:val="false"/>
                <w:bCs w:val="false"/>
                <w:sz w:val="19"/>
                <w:szCs w:val="19"/>
              </w:rPr>
              <w:t xml:space="preserve">Healthcare-related campaigns can attract additional review. Confirm current timelines with the provider.</w:t>
            </w:r>
          </w:p>
        </w:tc>
      </w:tr>
      <w:tr>
        <w:tc>
          <w:tcPr>
            <w:tcW w:type="dxa" w:w="3100"/>
            <w:tcMar>
              <w:top w:type="dxa" w:w="80"/>
              <w:left w:type="dxa" w:w="120"/>
              <w:bottom w:type="dxa" w:w="80"/>
              <w:right w:type="dxa" w:w="120"/>
            </w:tcMar>
          </w:tcPr>
          <w:p>
            <w:pPr>
              <w:spacing w:after="0"/>
            </w:pPr>
            <w:r>
              <w:rPr>
                <w:b w:val="false"/>
                <w:bCs w:val="false"/>
                <w:sz w:val="19"/>
                <w:szCs w:val="19"/>
              </w:rPr>
              <w:t xml:space="preserve">Clearinghouse trading-partner enrolment</w:t>
            </w:r>
          </w:p>
        </w:tc>
        <w:tc>
          <w:tcPr>
            <w:tcW w:type="dxa" w:w="2100"/>
            <w:tcMar>
              <w:top w:type="dxa" w:w="80"/>
              <w:left w:type="dxa" w:w="120"/>
              <w:bottom w:type="dxa" w:w="80"/>
              <w:right w:type="dxa" w:w="120"/>
            </w:tcMar>
          </w:tcPr>
          <w:p>
            <w:pPr>
              <w:spacing w:after="0"/>
            </w:pPr>
            <w:r>
              <w:rPr>
                <w:b w:val="false"/>
                <w:bCs w:val="false"/>
                <w:sz w:val="19"/>
                <w:szCs w:val="19"/>
              </w:rPr>
              <w:t xml:space="preserve">Weeks per payer</w:t>
            </w:r>
          </w:p>
        </w:tc>
        <w:tc>
          <w:tcPr>
            <w:tcW w:type="dxa" w:w="4160"/>
            <w:tcMar>
              <w:top w:type="dxa" w:w="80"/>
              <w:left w:type="dxa" w:w="120"/>
              <w:bottom w:type="dxa" w:w="80"/>
              <w:right w:type="dxa" w:w="120"/>
            </w:tcMar>
          </w:tcPr>
          <w:p>
            <w:pPr>
              <w:spacing w:after="0"/>
            </w:pPr>
            <w:r>
              <w:rPr>
                <w:b w:val="false"/>
                <w:bCs w:val="false"/>
                <w:sz w:val="19"/>
                <w:szCs w:val="19"/>
              </w:rPr>
              <w:t xml:space="preserve">Per-payer paperwork requiring clinic signature. Frequently the slowest item, and it repeats for every new payer.</w:t>
            </w:r>
          </w:p>
        </w:tc>
      </w:tr>
      <w:tr>
        <w:tc>
          <w:tcPr>
            <w:tcW w:type="dxa" w:w="3100"/>
            <w:tcMar>
              <w:top w:type="dxa" w:w="80"/>
              <w:left w:type="dxa" w:w="120"/>
              <w:bottom w:type="dxa" w:w="80"/>
              <w:right w:type="dxa" w:w="120"/>
            </w:tcMar>
          </w:tcPr>
          <w:p>
            <w:pPr>
              <w:spacing w:after="0"/>
            </w:pPr>
            <w:r>
              <w:rPr>
                <w:b w:val="false"/>
                <w:bCs w:val="false"/>
                <w:sz w:val="19"/>
                <w:szCs w:val="19"/>
              </w:rPr>
              <w:t xml:space="preserve">EMR production API access</w:t>
            </w:r>
          </w:p>
        </w:tc>
        <w:tc>
          <w:tcPr>
            <w:tcW w:type="dxa" w:w="2100"/>
            <w:tcMar>
              <w:top w:type="dxa" w:w="80"/>
              <w:left w:type="dxa" w:w="120"/>
              <w:bottom w:type="dxa" w:w="80"/>
              <w:right w:type="dxa" w:w="120"/>
            </w:tcMar>
          </w:tcPr>
          <w:p>
            <w:pPr>
              <w:spacing w:after="0"/>
            </w:pPr>
            <w:r>
              <w:rPr>
                <w:b w:val="false"/>
                <w:bCs w:val="false"/>
                <w:sz w:val="19"/>
                <w:szCs w:val="19"/>
              </w:rPr>
              <w:t xml:space="preserve">To be confirmed</w:t>
            </w:r>
          </w:p>
        </w:tc>
        <w:tc>
          <w:tcPr>
            <w:tcW w:type="dxa" w:w="4160"/>
            <w:tcMar>
              <w:top w:type="dxa" w:w="80"/>
              <w:left w:type="dxa" w:w="120"/>
              <w:bottom w:type="dxa" w:w="80"/>
              <w:right w:type="dxa" w:w="120"/>
            </w:tcMar>
          </w:tcPr>
          <w:p>
            <w:pPr>
              <w:spacing w:after="0"/>
            </w:pPr>
            <w:r>
              <w:rPr>
                <w:b w:val="false"/>
                <w:bCs w:val="false"/>
                <w:sz w:val="19"/>
                <w:szCs w:val="19"/>
              </w:rPr>
              <w:t xml:space="preserve">A sandbox adapter already exists. What is not yet established is production access terms, cost, and whether each customer practice requires its own approval and how long that takes. This is the largest scheduling unknown and should be researched before it becomes blocking.</w:t>
            </w:r>
          </w:p>
        </w:tc>
      </w:tr>
    </w:tbl>
    <w:p>
      <w:pPr>
        <w:spacing w:after="120"/>
      </w:pPr>
      <w:r>
        <w:rPr>
          <w:i/>
          <w:iCs/>
          <w:sz w:val="20"/>
          <w:szCs w:val="20"/>
        </w:rPr>
        <w:t xml:space="preserve">Planning consequence: for several workflows the enablement track can take longer than writing the code. Enrolment and approval work should start in parallel with M02–M06 rather than waiting for a workflow module to be code-complete.</w:t>
      </w:r>
    </w:p>
    <w:p>
      <w:pPr>
        <w:pStyle w:val="Heading1"/>
        <w:spacing w:after="140" w:before="280"/>
      </w:pPr>
      <w:r>
        <w:t xml:space="preserve">8. Principal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8EDF2" w:color="auto" w:val="clear"/>
            <w:tcMar>
              <w:top w:type="dxa" w:w="80"/>
              <w:left w:type="dxa" w:w="120"/>
              <w:bottom w:type="dxa" w:w="80"/>
              <w:right w:type="dxa" w:w="120"/>
            </w:tcMar>
          </w:tcPr>
          <w:p>
            <w:pPr>
              <w:spacing w:after="0"/>
            </w:pPr>
            <w:r>
              <w:rPr>
                <w:b/>
                <w:bCs/>
                <w:sz w:val="19"/>
                <w:szCs w:val="19"/>
              </w:rPr>
              <w:t xml:space="preserve">Risk</w:t>
            </w:r>
          </w:p>
        </w:tc>
        <w:tc>
          <w:tcPr>
            <w:tcW w:type="dxa" w:w="6660"/>
            <w:shd w:fill="E8EDF2" w:color="auto" w:val="clear"/>
            <w:tcMar>
              <w:top w:type="dxa" w:w="80"/>
              <w:left w:type="dxa" w:w="120"/>
              <w:bottom w:type="dxa" w:w="80"/>
              <w:right w:type="dxa" w:w="120"/>
            </w:tcMar>
          </w:tcPr>
          <w:p>
            <w:pPr>
              <w:spacing w:after="0"/>
            </w:pPr>
            <w:r>
              <w:rPr>
                <w:b/>
                <w:bCs/>
                <w:sz w:val="19"/>
                <w:szCs w:val="19"/>
              </w:rPr>
              <w:t xml:space="preserve">Position</w:t>
            </w:r>
          </w:p>
        </w:tc>
      </w:tr>
      <w:tr>
        <w:tc>
          <w:tcPr>
            <w:tcW w:type="dxa" w:w="2700"/>
            <w:tcMar>
              <w:top w:type="dxa" w:w="80"/>
              <w:left w:type="dxa" w:w="120"/>
              <w:bottom w:type="dxa" w:w="80"/>
              <w:right w:type="dxa" w:w="120"/>
            </w:tcMar>
          </w:tcPr>
          <w:p>
            <w:pPr>
              <w:spacing w:after="0"/>
            </w:pPr>
            <w:r>
              <w:rPr>
                <w:b w:val="false"/>
                <w:bCs w:val="false"/>
                <w:sz w:val="19"/>
                <w:szCs w:val="19"/>
              </w:rPr>
              <w:t xml:space="preserve">Commercial, not technical</w:t>
            </w:r>
          </w:p>
        </w:tc>
        <w:tc>
          <w:tcPr>
            <w:tcW w:type="dxa" w:w="6660"/>
            <w:tcMar>
              <w:top w:type="dxa" w:w="80"/>
              <w:left w:type="dxa" w:w="120"/>
              <w:bottom w:type="dxa" w:w="80"/>
              <w:right w:type="dxa" w:w="120"/>
            </w:tcMar>
          </w:tcPr>
          <w:p>
            <w:pPr>
              <w:spacing w:after="0"/>
            </w:pPr>
            <w:r>
              <w:rPr>
                <w:b w:val="false"/>
                <w:bCs w:val="false"/>
                <w:sz w:val="19"/>
                <w:szCs w:val="19"/>
              </w:rPr>
              <w:t xml:space="preserve">Technical risk is comparatively low and the architecture work is serious. What is unproven is whether these clinics pay enough to cover turnkey delivery, and whether they can be reached repeatably. Neither is resolved by further architecture work.</w:t>
            </w:r>
          </w:p>
        </w:tc>
      </w:tr>
      <w:tr>
        <w:tc>
          <w:tcPr>
            <w:tcW w:type="dxa" w:w="2700"/>
            <w:tcMar>
              <w:top w:type="dxa" w:w="80"/>
              <w:left w:type="dxa" w:w="120"/>
              <w:bottom w:type="dxa" w:w="80"/>
              <w:right w:type="dxa" w:w="120"/>
            </w:tcMar>
          </w:tcPr>
          <w:p>
            <w:pPr>
              <w:spacing w:after="0"/>
            </w:pPr>
            <w:r>
              <w:rPr>
                <w:b w:val="false"/>
                <w:bCs w:val="false"/>
                <w:sz w:val="19"/>
                <w:szCs w:val="19"/>
              </w:rPr>
              <w:t xml:space="preserve">Long build before outside signal</w:t>
            </w:r>
          </w:p>
        </w:tc>
        <w:tc>
          <w:tcPr>
            <w:tcW w:type="dxa" w:w="6660"/>
            <w:tcMar>
              <w:top w:type="dxa" w:w="80"/>
              <w:left w:type="dxa" w:w="120"/>
              <w:bottom w:type="dxa" w:w="80"/>
              <w:right w:type="dxa" w:w="120"/>
            </w:tcMar>
          </w:tcPr>
          <w:p>
            <w:pPr>
              <w:spacing w:after="0"/>
            </w:pPr>
            <w:r>
              <w:rPr>
                <w:b w:val="false"/>
                <w:bCs w:val="false"/>
                <w:sz w:val="19"/>
                <w:szCs w:val="19"/>
              </w:rPr>
              <w:t xml:space="preserve">Phase 1 is a long programme for one developer. The demo (D1) is the mechanism that produces outside evidence long before P2, does not sit behind the module stack, and should be shown as early as it is presentable.</w:t>
            </w:r>
          </w:p>
        </w:tc>
      </w:tr>
      <w:tr>
        <w:tc>
          <w:tcPr>
            <w:tcW w:type="dxa" w:w="2700"/>
            <w:tcMar>
              <w:top w:type="dxa" w:w="80"/>
              <w:left w:type="dxa" w:w="120"/>
              <w:bottom w:type="dxa" w:w="80"/>
              <w:right w:type="dxa" w:w="120"/>
            </w:tcMar>
          </w:tcPr>
          <w:p>
            <w:pPr>
              <w:spacing w:after="0"/>
            </w:pPr>
            <w:r>
              <w:rPr>
                <w:b w:val="false"/>
                <w:bCs w:val="false"/>
                <w:sz w:val="19"/>
                <w:szCs w:val="19"/>
              </w:rPr>
              <w:t xml:space="preserve">Onboarding labour is unbounded until measured</w:t>
            </w:r>
          </w:p>
        </w:tc>
        <w:tc>
          <w:tcPr>
            <w:tcW w:type="dxa" w:w="6660"/>
            <w:tcMar>
              <w:top w:type="dxa" w:w="80"/>
              <w:left w:type="dxa" w:w="120"/>
              <w:bottom w:type="dxa" w:w="80"/>
              <w:right w:type="dxa" w:w="120"/>
            </w:tcMar>
          </w:tcPr>
          <w:p>
            <w:pPr>
              <w:spacing w:after="0"/>
            </w:pPr>
            <w:r>
              <w:rPr>
                <w:b w:val="false"/>
                <w:bCs w:val="false"/>
                <w:sz w:val="19"/>
                <w:szCs w:val="19"/>
              </w:rPr>
              <w:t xml:space="preserve">Turnkey delivery moves setup cost onto HaloFlow. Until measured on a real clinic it is unknown whether the subscription recovers it. Measure on clinic #1.</w:t>
            </w:r>
          </w:p>
        </w:tc>
      </w:tr>
      <w:tr>
        <w:tc>
          <w:tcPr>
            <w:tcW w:type="dxa" w:w="2700"/>
            <w:tcMar>
              <w:top w:type="dxa" w:w="80"/>
              <w:left w:type="dxa" w:w="120"/>
              <w:bottom w:type="dxa" w:w="80"/>
              <w:right w:type="dxa" w:w="120"/>
            </w:tcMar>
          </w:tcPr>
          <w:p>
            <w:pPr>
              <w:spacing w:after="0"/>
            </w:pPr>
            <w:r>
              <w:rPr>
                <w:b w:val="false"/>
                <w:bCs w:val="false"/>
                <w:sz w:val="19"/>
                <w:szCs w:val="19"/>
              </w:rPr>
              <w:t xml:space="preserve">Founder credibility on a multi-year promise</w:t>
            </w:r>
          </w:p>
        </w:tc>
        <w:tc>
          <w:tcPr>
            <w:tcW w:type="dxa" w:w="6660"/>
            <w:tcMar>
              <w:top w:type="dxa" w:w="80"/>
              <w:left w:type="dxa" w:w="120"/>
              <w:bottom w:type="dxa" w:w="80"/>
              <w:right w:type="dxa" w:w="120"/>
            </w:tcMar>
          </w:tcPr>
          <w:p>
            <w:pPr>
              <w:spacing w:after="0"/>
            </w:pPr>
            <w:r>
              <w:rPr>
                <w:b w:val="false"/>
                <w:bCs w:val="false"/>
                <w:sz w:val="19"/>
                <w:szCs w:val="19"/>
              </w:rPr>
              <w:t xml:space="preserve">A clinic buying the end state from a small team carries delivery risk. The phased rollout with free setup is the mitigation — the clinic can stop after the first workflow having lost nothing — and it should be stated explicitly in the pitch rather than left unaddressed.</w:t>
            </w:r>
          </w:p>
        </w:tc>
      </w:tr>
      <w:tr>
        <w:tc>
          <w:tcPr>
            <w:tcW w:type="dxa" w:w="2700"/>
            <w:tcMar>
              <w:top w:type="dxa" w:w="80"/>
              <w:left w:type="dxa" w:w="120"/>
              <w:bottom w:type="dxa" w:w="80"/>
              <w:right w:type="dxa" w:w="120"/>
            </w:tcMar>
          </w:tcPr>
          <w:p>
            <w:pPr>
              <w:spacing w:after="0"/>
            </w:pPr>
            <w:r>
              <w:rPr>
                <w:b w:val="false"/>
                <w:bCs w:val="false"/>
                <w:sz w:val="19"/>
                <w:szCs w:val="19"/>
              </w:rPr>
              <w:t xml:space="preserve">Per-clinic configuration drift</w:t>
            </w:r>
          </w:p>
        </w:tc>
        <w:tc>
          <w:tcPr>
            <w:tcW w:type="dxa" w:w="6660"/>
            <w:tcMar>
              <w:top w:type="dxa" w:w="80"/>
              <w:left w:type="dxa" w:w="120"/>
              <w:bottom w:type="dxa" w:w="80"/>
              <w:right w:type="dxa" w:w="120"/>
            </w:tcMar>
          </w:tcPr>
          <w:p>
            <w:pPr>
              <w:spacing w:after="0"/>
            </w:pPr>
            <w:r>
              <w:rPr>
                <w:b w:val="false"/>
                <w:bCs w:val="false"/>
                <w:sz w:val="19"/>
                <w:szCs w:val="19"/>
              </w:rPr>
              <w:t xml:space="preserve">Mitigated by maintaining a recommended default rollout order and deviating only for a stated reason.</w:t>
            </w:r>
          </w:p>
        </w:tc>
      </w:tr>
      <w:tr>
        <w:tc>
          <w:tcPr>
            <w:tcW w:type="dxa" w:w="2700"/>
            <w:tcMar>
              <w:top w:type="dxa" w:w="80"/>
              <w:left w:type="dxa" w:w="120"/>
              <w:bottom w:type="dxa" w:w="80"/>
              <w:right w:type="dxa" w:w="120"/>
            </w:tcMar>
          </w:tcPr>
          <w:p>
            <w:pPr>
              <w:spacing w:after="0"/>
            </w:pPr>
            <w:r>
              <w:rPr>
                <w:b w:val="false"/>
                <w:bCs w:val="false"/>
                <w:sz w:val="19"/>
                <w:szCs w:val="19"/>
              </w:rPr>
              <w:t xml:space="preserve">Problem evidence is currently secondhand</w:t>
            </w:r>
          </w:p>
        </w:tc>
        <w:tc>
          <w:tcPr>
            <w:tcW w:type="dxa" w:w="6660"/>
            <w:tcMar>
              <w:top w:type="dxa" w:w="80"/>
              <w:left w:type="dxa" w:w="120"/>
              <w:bottom w:type="dxa" w:w="80"/>
              <w:right w:type="dxa" w:w="120"/>
            </w:tcMar>
          </w:tcPr>
          <w:p>
            <w:pPr>
              <w:spacing w:after="0"/>
            </w:pPr>
            <w:r>
              <w:rPr>
                <w:b w:val="false"/>
                <w:bCs w:val="false"/>
                <w:sz w:val="19"/>
                <w:szCs w:val="19"/>
              </w:rPr>
              <w:t xml:space="preserve">Understanding of clinic pain derives from one practice via a personal connection, without formal discovery interviews. The demo conversations with local clinics are the first independent evidence and should be treated as such.</w:t>
            </w:r>
          </w:p>
        </w:tc>
      </w:tr>
      <w:tr>
        <w:tc>
          <w:tcPr>
            <w:tcW w:type="dxa" w:w="2700"/>
            <w:tcMar>
              <w:top w:type="dxa" w:w="80"/>
              <w:left w:type="dxa" w:w="120"/>
              <w:bottom w:type="dxa" w:w="80"/>
              <w:right w:type="dxa" w:w="120"/>
            </w:tcMar>
          </w:tcPr>
          <w:p>
            <w:pPr>
              <w:spacing w:after="0"/>
            </w:pPr>
            <w:r>
              <w:rPr>
                <w:b w:val="false"/>
                <w:bCs w:val="false"/>
                <w:sz w:val="19"/>
                <w:szCs w:val="19"/>
              </w:rPr>
              <w:t xml:space="preserve">Assurance process versus schedule</w:t>
            </w:r>
          </w:p>
        </w:tc>
        <w:tc>
          <w:tcPr>
            <w:tcW w:type="dxa" w:w="6660"/>
            <w:tcMar>
              <w:top w:type="dxa" w:w="80"/>
              <w:left w:type="dxa" w:w="120"/>
              <w:bottom w:type="dxa" w:w="80"/>
              <w:right w:type="dxa" w:w="120"/>
            </w:tcMar>
          </w:tcPr>
          <w:p>
            <w:pPr>
              <w:spacing w:after="0"/>
            </w:pPr>
            <w:r>
              <w:rPr>
                <w:b w:val="false"/>
                <w:bCs w:val="false"/>
                <w:sz w:val="19"/>
                <w:szCs w:val="19"/>
              </w:rPr>
              <w:t xml:space="preserve">The design-first, ADR-recorded, security-reviewed process is right for PHI and is a genuine asset. It is also the main reason the per-module estimates are what they are. This is a deliberate trade and should not be quietly abandoned under schedule pressure.</w:t>
            </w:r>
          </w:p>
        </w:tc>
      </w:tr>
    </w:tbl>
    <w:p>
      <w:pPr>
        <w:pStyle w:val="Heading1"/>
        <w:spacing w:after="140" w:before="280"/>
      </w:pPr>
      <w:r>
        <w:t xml:space="preserve">9. Next Actions</w:t>
      </w:r>
    </w:p>
    <w:p>
      <w:pPr>
        <w:pStyle w:val="ListParagraph"/>
        <w:numPr>
          <w:ilvl w:val="0"/>
          <w:numId w:val="2"/>
        </w:numPr>
        <w:spacing w:after="80"/>
      </w:pPr>
      <w:r>
        <w:t xml:space="preserve">Record the EMR decision explicitly, rather than leaving athenahealth implicit in the adapter code, and note the pilot-clinic implication in §2.</w:t>
      </w:r>
    </w:p>
    <w:p>
      <w:pPr>
        <w:pStyle w:val="ListParagraph"/>
        <w:numPr>
          <w:ilvl w:val="0"/>
          <w:numId w:val="2"/>
        </w:numPr>
        <w:spacing w:after="80"/>
      </w:pPr>
      <w:r>
        <w:t xml:space="preserve">Confirm production EMR API access terms, cost, per-practice approval requirements and onboarding time.</w:t>
      </w:r>
    </w:p>
    <w:p>
      <w:pPr>
        <w:pStyle w:val="ListParagraph"/>
        <w:numPr>
          <w:ilvl w:val="0"/>
          <w:numId w:val="2"/>
        </w:numPr>
        <w:spacing w:after="80"/>
      </w:pPr>
      <w:r>
        <w:t xml:space="preserve">Land the M01 debt PR; it gates M02 implementation.</w:t>
      </w:r>
    </w:p>
    <w:p>
      <w:pPr>
        <w:pStyle w:val="ListParagraph"/>
        <w:numPr>
          <w:ilvl w:val="0"/>
          <w:numId w:val="2"/>
        </w:numPr>
        <w:spacing w:after="80"/>
      </w:pPr>
      <w:r>
        <w:t xml:space="preserve">Decide the disposition of the legacy prototype layer: reference spike, or code to migrate behind M01.</w:t>
      </w:r>
    </w:p>
    <w:p>
      <w:pPr>
        <w:pStyle w:val="ListParagraph"/>
        <w:numPr>
          <w:ilvl w:val="0"/>
          <w:numId w:val="2"/>
        </w:numPr>
        <w:spacing w:after="80"/>
      </w:pPr>
      <w:r>
        <w:t xml:space="preserve">Align client and investor materials with the roadmap on approval gates; reframe autonomous-execution language.</w:t>
      </w:r>
    </w:p>
    <w:p>
      <w:pPr>
        <w:pStyle w:val="ListParagraph"/>
        <w:numPr>
          <w:ilvl w:val="0"/>
          <w:numId w:val="2"/>
        </w:numPr>
        <w:spacing w:after="80"/>
      </w:pPr>
      <w:r>
        <w:t xml:space="preserve">Build the demo (D1) to the scope in §3, including the deliberate exception case, on the prototype and mock adapters so it does not wait on the module stack.</w:t>
      </w:r>
    </w:p>
    <w:p>
      <w:pPr>
        <w:pStyle w:val="ListParagraph"/>
        <w:numPr>
          <w:ilvl w:val="0"/>
          <w:numId w:val="2"/>
        </w:numPr>
        <w:spacing w:after="80"/>
      </w:pPr>
      <w:r>
        <w:t xml:space="preserve">Assemble a synthetic document and payer-response set that can be re-skinned per prospect.</w:t>
      </w:r>
    </w:p>
    <w:p>
      <w:pPr>
        <w:pStyle w:val="ListParagraph"/>
        <w:numPr>
          <w:ilvl w:val="0"/>
          <w:numId w:val="2"/>
        </w:numPr>
        <w:spacing w:after="80"/>
      </w:pPr>
      <w:r>
        <w:t xml:space="preserve">Identify local clinics to show the demo to, and prepare the observation list in §3.4.</w:t>
      </w:r>
    </w:p>
    <w:p>
      <w:pPr>
        <w:pStyle w:val="ListParagraph"/>
        <w:numPr>
          <w:ilvl w:val="0"/>
          <w:numId w:val="2"/>
        </w:numPr>
        <w:spacing w:after="80"/>
      </w:pPr>
      <w:r>
        <w:t xml:space="preserve">Begin external enablement research — messaging registration and clearinghouse enrolment — so those timelines are known before they block anything.</w:t>
      </w:r>
    </w:p>
    <w:p>
      <w:pPr>
        <w:pStyle w:val="ListParagraph"/>
        <w:numPr>
          <w:ilvl w:val="0"/>
          <w:numId w:val="2"/>
        </w:numPr>
        <w:spacing w:after="80"/>
      </w:pPr>
      <w:r>
        <w:t xml:space="preserve">Record actual focused hours per week for a few weeks, to tighten §6.3.</w:t>
      </w:r>
    </w:p>
    <w:p>
      <w:pPr>
        <w:pStyle w:val="ListParagraph"/>
        <w:numPr>
          <w:ilvl w:val="0"/>
          <w:numId w:val="2"/>
        </w:numPr>
        <w:spacing w:after="80"/>
      </w:pPr>
      <w:r>
        <w:t xml:space="preserve">From the first clinic onward, record hours spent on onboarding.</w:t>
      </w:r>
    </w:p>
    <w:p>
      <w:pPr>
        <w:spacing w:before="240"/>
      </w:pPr>
      <w:r>
        <w:rPr>
          <w:sz w:val="20"/>
          <w:szCs w:val="20"/>
        </w:rPr>
        <w:t xml:space="preserve"/>
      </w:r>
    </w:p>
    <w:p>
      <w:pPr>
        <w:spacing w:after="120"/>
      </w:pPr>
      <w:r>
        <w:rPr>
          <w:i/>
          <w:iCs/>
          <w:sz w:val="20"/>
          <w:szCs w:val="20"/>
        </w:rPr>
        <w:t xml:space="preserve">Prepared for internal discussion — Halo Holdings Track B planning. Estimates are planning figures, not commitments; re-cut each module at its design freeze.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2026-08-31T01:52:14.970Z</dcterms:created>
  <dcterms:modified xsi:type="dcterms:W3CDTF">2026-08-31T01:52:14.984Z</dcterms:modified>
</cp:coreProperties>
</file>

<file path=docProps/custom.xml><?xml version="1.0" encoding="utf-8"?>
<Properties xmlns="http://schemas.openxmlformats.org/officeDocument/2006/custom-properties" xmlns:vt="http://schemas.openxmlformats.org/officeDocument/2006/docPropsVTypes"/>
</file>