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80"/>
      </w:pPr>
      <w:r>
        <w:rPr>
          <w:rFonts w:ascii="Calibri" w:hAnsi="Calibri"/>
          <w:b/>
          <w:color w:val="0D9488"/>
          <w:sz w:val="20"/>
        </w:rPr>
        <w:t>PRODUCT &amp; SYSTEM REQUIREMENTS</w:t>
      </w:r>
    </w:p>
    <w:p>
      <w:pPr>
        <w:keepNext/>
        <w:spacing w:before="0" w:after="120"/>
      </w:pPr>
      <w:r>
        <w:rPr>
          <w:rFonts w:ascii="Calibri" w:hAnsi="Calibri"/>
          <w:b/>
          <w:color w:val="17324D"/>
          <w:sz w:val="50"/>
        </w:rPr>
        <w:t>Intelligent Layer Requirements</w:t>
      </w:r>
    </w:p>
    <w:p>
      <w:pPr>
        <w:spacing w:after="280"/>
        <w:pBdr>
          <w:bottom w:val="single" w:sz="18" w:space="10" w:color="0D9488"/>
        </w:pBdr>
      </w:pPr>
      <w:r>
        <w:rPr>
          <w:rFonts w:ascii="Calibri" w:hAnsi="Calibri"/>
          <w:color w:val="5B6770"/>
          <w:sz w:val="26"/>
        </w:rPr>
        <w:t>Product, system, safety and governance requirements for progressive intelligence</w:t>
      </w:r>
    </w:p>
    <w:p>
      <w:pPr>
        <w:spacing w:after="40" w:line="252" w:lineRule="auto"/>
      </w:pPr>
      <w:r>
        <w:rPr>
          <w:rFonts w:ascii="Calibri" w:hAnsi="Calibri"/>
          <w:b/>
          <w:color w:val="17324D"/>
          <w:sz w:val="21"/>
        </w:rPr>
        <w:t xml:space="preserve">Product: </w:t>
      </w:r>
      <w:r>
        <w:rPr>
          <w:rFonts w:ascii="Calibri" w:hAnsi="Calibri"/>
          <w:color w:val="1F2937"/>
          <w:sz w:val="21"/>
        </w:rPr>
        <w:t>HaloFlow Medical Solution</w:t>
      </w:r>
    </w:p>
    <w:p>
      <w:pPr>
        <w:spacing w:after="40" w:line="252" w:lineRule="auto"/>
      </w:pPr>
      <w:r>
        <w:rPr>
          <w:rFonts w:ascii="Calibri" w:hAnsi="Calibri"/>
          <w:b/>
          <w:color w:val="17324D"/>
          <w:sz w:val="21"/>
        </w:rPr>
        <w:t xml:space="preserve">Status: </w:t>
      </w:r>
      <w:r>
        <w:rPr>
          <w:rFonts w:ascii="Calibri" w:hAnsi="Calibri"/>
          <w:color w:val="1F2937"/>
          <w:sz w:val="21"/>
        </w:rPr>
        <w:t>Draft for product, clinical, security and engineering review</w:t>
      </w:r>
    </w:p>
    <w:p>
      <w:pPr>
        <w:spacing w:after="40" w:line="252" w:lineRule="auto"/>
      </w:pPr>
      <w:r>
        <w:rPr>
          <w:rFonts w:ascii="Calibri" w:hAnsi="Calibri"/>
          <w:b/>
          <w:color w:val="17324D"/>
          <w:sz w:val="21"/>
        </w:rPr>
        <w:t xml:space="preserve">Version: </w:t>
      </w:r>
      <w:r>
        <w:rPr>
          <w:rFonts w:ascii="Calibri" w:hAnsi="Calibri"/>
          <w:color w:val="1F2937"/>
          <w:sz w:val="21"/>
        </w:rPr>
        <w:t>0.1</w:t>
      </w:r>
    </w:p>
    <w:p>
      <w:pPr>
        <w:spacing w:after="40" w:line="252" w:lineRule="auto"/>
      </w:pPr>
      <w:r>
        <w:rPr>
          <w:rFonts w:ascii="Calibri" w:hAnsi="Calibri"/>
          <w:b/>
          <w:color w:val="17324D"/>
          <w:sz w:val="21"/>
        </w:rPr>
        <w:t xml:space="preserve">Date: </w:t>
      </w:r>
      <w:r>
        <w:rPr>
          <w:rFonts w:ascii="Calibri" w:hAnsi="Calibri"/>
          <w:color w:val="1F2937"/>
          <w:sz w:val="21"/>
        </w:rPr>
        <w:t>23 August 2026</w:t>
      </w:r>
    </w:p>
    <w:p>
      <w:pPr>
        <w:spacing w:after="40" w:line="252" w:lineRule="auto"/>
      </w:pPr>
      <w:r>
        <w:rPr>
          <w:rFonts w:ascii="Calibri" w:hAnsi="Calibri"/>
          <w:b/>
          <w:color w:val="17324D"/>
          <w:sz w:val="21"/>
        </w:rPr>
        <w:t xml:space="preserve">Delivery: </w:t>
      </w:r>
      <w:r>
        <w:rPr>
          <w:rFonts w:ascii="Calibri" w:hAnsi="Calibri"/>
          <w:color w:val="1F2937"/>
          <w:sz w:val="21"/>
        </w:rPr>
        <w:t>Foundation in Phases 1–2; advanced intelligence in Phase 3+</w:t>
      </w:r>
    </w:p>
    <w:p>
      <w:pPr>
        <w:spacing w:before="160" w:after="200" w:line="269" w:lineRule="auto"/>
        <w:ind w:left="173" w:right="173"/>
        <w:shd w:fill="E8F5F3"/>
      </w:pPr>
      <w:r>
        <w:rPr>
          <w:rFonts w:ascii="Calibri" w:hAnsi="Calibri"/>
          <w:b/>
          <w:color w:val="17324D"/>
          <w:sz w:val="22"/>
        </w:rPr>
        <w:t xml:space="preserve">Primary objective  </w:t>
      </w:r>
      <w:r>
        <w:rPr>
          <w:rFonts w:ascii="Calibri" w:hAnsi="Calibri"/>
          <w:color w:val="1F2937"/>
          <w:sz w:val="22"/>
        </w:rPr>
        <w:t>Establish a safe, governed and extensible intelligence capability that improves clinical, patient and operational workflows while creating a proprietary learning advantage from workflow and outcome data.</w:t>
      </w:r>
    </w:p>
    <w:p>
      <w:pPr>
        <w:pStyle w:val="Heading1"/>
      </w:pPr>
      <w:r>
        <w:t>1. Purpose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The HaloFlow Intelligent Layer shall transform authorized clinical, patient, workflow and operational data into actionable insights, recommendations and controlled workflow automation.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Deterministic rules, alerts and care-gap detection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Patient and workflow prioritization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Predictive models and next-best-action recommendations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Approved-knowledge retrieval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AI-assisted summarization, drafting and information extraction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Carefully controlled workflow automation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Continuous performance, safety and outcome measurement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The layer shall remain modular and separated from core transactional applications so that models, rules and vendors can change without redesigning the overall platform.</w:t>
      </w:r>
    </w:p>
    <w:p>
      <w:pPr>
        <w:pStyle w:val="Heading1"/>
      </w:pPr>
      <w:r>
        <w:t>2. Product principles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F2937"/>
        </w:rPr>
        <w:t>Human accountability — HaloFlow shall remain a decision-support system unless a specific automated use case has been separately approved.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F2937"/>
        </w:rPr>
        <w:t>Safety before automation — higher-risk recommendations shall require explicit human review.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F2937"/>
        </w:rPr>
        <w:t>Rules before complex models — deterministic logic shall be used where it adequately addresses the use case.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F2937"/>
        </w:rPr>
        <w:t>Evidence-based output — recommendations shall include reasons and supporting evidence where applicable.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F2937"/>
        </w:rPr>
        <w:t>Privacy by design — only authorized data required for the stated purpose shall be processed.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F2937"/>
        </w:rPr>
        <w:t>Vendor independence — workflows shall not depend directly on one model or AI provider.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F2937"/>
        </w:rPr>
        <w:t>Measurable learning — recommendations, user responses, actions and outcomes shall be captured in structured form.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F2937"/>
        </w:rPr>
        <w:t>Graceful degradation — core workflows shall continue when an intelligence service is unavailable.</w:t>
      </w:r>
    </w:p>
    <w:p>
      <w:pPr>
        <w:pStyle w:val="Heading1"/>
      </w:pPr>
      <w:r>
        <w:t>3. Scope</w:t>
      </w:r>
    </w:p>
    <w:p>
      <w:pPr>
        <w:pStyle w:val="Heading2"/>
      </w:pPr>
      <w:r>
        <w:t>3.1 Phase 1–2 scope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Standardized data and event interfaces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Governed patient and workflow context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Consent and access enforcement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Deterministic rules and configurable alerts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Approved-knowledge retrieval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Low-risk summarization and information extraction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Human review workflows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Recommendation feedback, outcome capture and audit logging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Stable interfaces for future predictive models</w:t>
      </w:r>
    </w:p>
    <w:p>
      <w:pPr>
        <w:pStyle w:val="Heading2"/>
      </w:pPr>
      <w:r>
        <w:t>3.2 Phase 3+ scope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Predictive risk and prioritization models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Next-best-action recommendations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Decision orchestration across rules, models and knowledge sources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Resource and workflow optimization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Organization-specific model configuration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Bounded automation for separately approved use cases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Continuous model evaluation and controlled improvement</w:t>
      </w:r>
    </w:p>
    <w:p>
      <w:pPr>
        <w:pStyle w:val="Heading2"/>
      </w:pPr>
      <w:r>
        <w:t>3.3 Initially out of scope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Autonomous diagnosis or treatment decisions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Prescribing or altering treatment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High-risk clinical recommendations delivered directly to patients without review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Replacement of required clinician judgment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Model training on customer data without appropriate authorization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Generative output written directly to the clinical record without validation and attribution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Autonomous production model updates or uncontrolled self-learning</w:t>
      </w:r>
    </w:p>
    <w:p>
      <w:pPr>
        <w:pStyle w:val="Heading1"/>
      </w:pPr>
      <w:r>
        <w:t>4. Users and stakeholders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Clinicians and care-team members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Clinical and operational administrators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Patient-support personnel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Patients, for specifically approved experiences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Data science, analytics, product and engineering teams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Clinical safety, privacy, compliance and security personnel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Customer-organization administrators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Permissions and available capabilities shall vary by role, organization, purpose and use case.</w:t>
      </w:r>
    </w:p>
    <w:p>
      <w:pPr>
        <w:pStyle w:val="Heading1"/>
      </w:pPr>
      <w:r>
        <w:t>5. Functional requirements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color w:val="17324D"/>
          <w:sz w:val="24"/>
        </w:rPr>
        <w:t>IL-FR-001 — Standardized data access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The Intelligent Layer shall consume data through governed APIs, event streams or approved analytical datasets and shall not depend on uncontrolled direct access to application databases.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Support patient, encounter, assessment, referral, appointment, care-plan, communication, document, device and workflow data as applicable.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Support FHIR R4 and standard clinical terminologies where appropriate.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Retain source, timestamp, organization, subject and authorization context.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color w:val="17324D"/>
          <w:sz w:val="24"/>
        </w:rPr>
        <w:t>IL-FR-002 — Event processing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The system shall receive and process versioned workflow events reliably and idempotently.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Supported events shall include referrals, appointments, assessments, results, status changes, tasks, recommendations, interventions and outcomes.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Each event shall include a unique identifier, type, source, organization, subject, timestamp, schema version and applicable authorization context.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Duplicate events shall not create duplicate actions.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color w:val="17324D"/>
          <w:sz w:val="24"/>
        </w:rPr>
        <w:t>IL-FR-003 — Patient and workflow context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The system shall assemble an authorized and time-relevant context for each decision.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Context may include longitudinal history, recent utilization, engagement, active care plans, open care gaps, tasks, risk indicators and organization policies.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The service shall distinguish known, unknown, missing and potentially stale information.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Data provenance and quality indicators shall accompany context where relevant.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color w:val="17324D"/>
          <w:sz w:val="24"/>
        </w:rPr>
        <w:t>IL-FR-004 — Rules engine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Authorized administrators shall be able to define, version, test, approve, activate and retire deterministic rules.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Each rule shall identify its owner, inputs, eligibility, exclusions, action, priority, effective dates and review requirement.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Unapproved or incomplete rules shall not be activated in production.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Historical rule versions shall remain traceable.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color w:val="17324D"/>
          <w:sz w:val="24"/>
        </w:rPr>
        <w:t>IL-FR-005 — Knowledge and evidence service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Clinical or regulated use cases shall retrieve information only from approved, versioned and access-controlled knowledge sources.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Each source shall have an owner, version, approval status, effective dates, scope and review history.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Outputs based on retrieved knowledge shall retain supporting source identifiers and versions.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Expired or withdrawn sources shall not be used for new decisions.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color w:val="17324D"/>
          <w:sz w:val="24"/>
        </w:rPr>
        <w:t>IL-FR-006 — Model gateway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All predictive and generative model requests shall pass through a controlled, vendor-independent model gateway.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The gateway shall authenticate, authorize, route and apply use-case-specific safeguards.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It shall record model and prompt versions and monitor availability, latency and cost.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Providers shall not retain or train on HaloFlow data unless explicitly authorized.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color w:val="17324D"/>
          <w:sz w:val="24"/>
        </w:rPr>
        <w:t>IL-FR-007 — Decision orchestration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The system shall determine whether a request should use rules, predictive models, knowledge retrieval, generative AI, a combination, or no automated recommendation.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Authorization, consent, safety, confidence and review policies shall be applied before a result is returned.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The selected decision path and rationale shall be auditable.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color w:val="17324D"/>
          <w:sz w:val="24"/>
        </w:rPr>
        <w:t>IL-FR-008 — Structured recommendation output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Every recommendation shall be represented as a structured decision object rather than free-form text alone.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The object shall include an identifier, use case, action, priority, reason codes, explanation, evidence, timestamps and review requirement.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It shall include rule, model, prompt and knowledge versions where applicable.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Facts, calculations, predictions and generated text shall be distinguishable.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color w:val="17324D"/>
          <w:sz w:val="24"/>
        </w:rPr>
        <w:t>IL-FR-009 — Human review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The system shall enforce review before a recommendation can trigger a designated high-impact action.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Authorized reviewers shall be able to accept, modify, reject, defer or escalate a recommendation.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The system shall record the reviewer, decision, changes, reason and timestamp.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color w:val="17324D"/>
          <w:sz w:val="24"/>
        </w:rPr>
        <w:t>IL-FR-010 — Workflow integration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Approved recommendations shall be delivered inside existing HaloFlow workflows.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Supported patterns may include prioritized queues, alerts, summaries, suggested tasks, outreach recommendations and dashboards.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Users shall not be required to operate a separate AI application.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Recommendation state and review status shall be visible in context.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color w:val="17324D"/>
          <w:sz w:val="24"/>
        </w:rPr>
        <w:t>IL-FR-011 — Feedback and outcome capture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The system shall capture recommendation exposure, user response, resulting action, completion and relevant outcome.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Responses shall include accepted, modified, rejected, deferred or ignored states and the reason where available.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Feedback shall enter an approved evaluation process and shall not automatically modify a production model.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color w:val="17324D"/>
          <w:sz w:val="24"/>
        </w:rPr>
        <w:t>IL-FR-012 — Model and rule lifecycle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Rules, models, prompts and knowledge sources shall be versioned and released through controlled environments.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The lifecycle shall support offline evaluation, shadow mode, limited pilot, controlled rollout, rollback and retirement.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Historical decisions shall be reproducible using the applicable versions.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Production changes shall require documented approval.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color w:val="17324D"/>
          <w:sz w:val="24"/>
        </w:rPr>
        <w:t>IL-FR-013 — Monitoring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The system shall monitor service, data, model, safety, outcome and cost performance.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Monitoring shall cover availability, latency, missing or stale data, failures, drift, recommendation volume and user-response rates.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Relevant subgroup performance and unsupported generated content shall be evaluated.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Threshold breaches shall notify the responsible team.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color w:val="17324D"/>
          <w:sz w:val="24"/>
        </w:rPr>
        <w:t>IL-FR-014 — Safe failure behavior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When a required service, source or model is unavailable, HaloFlow shall fail safely and preserve the underlying workflow where appropriate.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Incomplete results shall not be presented as valid.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Approved fallbacks may be used; unapproved models or sources shall not be substituted silently.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Failures and fallback behavior shall be visible and audited.</w:t>
      </w:r>
    </w:p>
    <w:p>
      <w:pPr>
        <w:pStyle w:val="Heading1"/>
      </w:pPr>
      <w:r>
        <w:t>6. Security, privacy and governance requirements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color w:val="17324D"/>
          <w:sz w:val="24"/>
        </w:rPr>
        <w:t>IL-SP-001 — Access control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The system shall enforce role-, organization-, purpose- and context-based access using least privilege.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color w:val="17324D"/>
          <w:sz w:val="24"/>
        </w:rPr>
        <w:t>IL-SP-002 — Tenant isolation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Customer data, configurations, knowledge, recommendations and outputs shall remain isolated by organization.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color w:val="17324D"/>
          <w:sz w:val="24"/>
        </w:rPr>
        <w:t>IL-SP-003 — Consent and permitted use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Applicable consent and permitted-use conditions shall be verified before patient data is used for a decision, analysis or model-development activity.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color w:val="17324D"/>
          <w:sz w:val="24"/>
        </w:rPr>
        <w:t>IL-SP-004 — Data protection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Sensitive data shall be encrypted in transit and at rest; credentials and keys shall use approved security services.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color w:val="17324D"/>
          <w:sz w:val="24"/>
        </w:rPr>
        <w:t>IL-SP-005 — Auditability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Tamper-evident audit records shall capture data access, purpose, versions, recommendation, human review, action, errors and policy blocks.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Retention shall follow applicable legal, contractual and organizational policies.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color w:val="17324D"/>
          <w:sz w:val="24"/>
        </w:rPr>
        <w:t>IL-SP-006 — Data minimization and retention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Only data required for the approved use case shall be sent to a model or external provider.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Prompts, outputs, embeddings, logs and evaluation data shall follow defined retention and deletion policies.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color w:val="17324D"/>
          <w:sz w:val="24"/>
        </w:rPr>
        <w:t>IL-SP-007 — Clinical safety classification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Every intelligent use case shall receive a documented risk classification before production deployment.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The classification shall determine evidence, validation, review, monitoring, release authority, incident handling and regulatory assessment requirements.</w:t>
      </w:r>
    </w:p>
    <w:p>
      <w:pPr>
        <w:pStyle w:val="Heading1"/>
      </w:pPr>
      <w:r>
        <w:t>7. Non-functional requirements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700"/>
        <w:gridCol w:w="61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7324D"/>
                <w:sz w:val="18"/>
              </w:rP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7324D"/>
                <w:sz w:val="18"/>
              </w:rPr>
              <w:t>Quality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7324D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IL-NFR-001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Modularity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Rules, models, retrieval, policy and workflow integration shall expose versioned interfaces.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IL-NFR-002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Availability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An intelligence-layer failure shall not make essential HaloFlow workflows unavailable.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IL-NFR-003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Performance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Interactive decisions shall meet use-case latency targets; longer analysis shall run asynchronously.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IL-NFR-004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Scalability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Services shall scale by organization, patient, event and model workload without redesigning core applications.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IL-NFR-005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Explainability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Outputs shall provide reasons, relevant inputs and evidence appropriate to the use-case risk.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IL-NFR-006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Reproducibility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Historical outputs shall be traceable to inputs, versions, configuration and knowledge.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IL-NFR-007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Observability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A trace identifier shall connect data retrieval, policy, execution, delivery and action.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IL-NFR-008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Accessibility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Outputs shall meet HaloFlow accessibility standards and clearly communicate action, uncertainty, source and review state.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t>8. Phase acceptance criteria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F3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7324D"/>
                <w:sz w:val="18"/>
              </w:rPr>
              <w:t>Milestone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F3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7324D"/>
                <w:sz w:val="18"/>
              </w:rPr>
              <w:t>Acceptance summary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Phase 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Versioned data and event schemas; access, consent and tenant controls; audited rules; structured recommendations; feedback capture; safe failure.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Phase 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Approved knowledge retrieval; controlled model gateway; low-risk AI assistance; human review; versioned prompts/models; shadow mode; monitoring.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Phase 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Validated predictive models; representative and subgroup evaluation; approval; drift and outcome monitoring; tested rollback; measurable production outcomes.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t>9. Initial use-case prioritization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Each proposed use case shall be assessed against: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User and business value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Availability and quality of required data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Clinical or operational risk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Ability to measure outcomes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Need for human review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Implementation complexity and frequency of use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Ability to create differentiated, permissioned learning data</w:t>
      </w:r>
    </w:p>
    <w:p>
      <w:pPr>
        <w:spacing w:before="160" w:after="200" w:line="269" w:lineRule="auto"/>
        <w:ind w:left="173" w:right="173"/>
        <w:shd w:fill="EAF2F8"/>
      </w:pPr>
      <w:r>
        <w:rPr>
          <w:rFonts w:ascii="Calibri" w:hAnsi="Calibri"/>
          <w:b/>
          <w:color w:val="17324D"/>
          <w:sz w:val="22"/>
        </w:rPr>
        <w:t xml:space="preserve">Recommended starting point  </w:t>
      </w:r>
      <w:r>
        <w:rPr>
          <w:rFonts w:ascii="Calibri" w:hAnsi="Calibri"/>
          <w:color w:val="1F2937"/>
          <w:sz w:val="22"/>
        </w:rPr>
        <w:t>Prioritize high-value, low-to-moderate-risk use cases such as workflow prioritization, care-gap detection, administrative summaries and outreach recommendations.</w:t>
      </w:r>
    </w:p>
    <w:p>
      <w:pPr>
        <w:pStyle w:val="Heading1"/>
      </w:pPr>
      <w:r>
        <w:t>10. Success measures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Reduced time to review or prioritize cases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Improved care-gap, task and outreach completion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Reduced avoidable workflow delays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Recommendation acceptance and modification rates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User-reported usefulness and trust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Rate of unsupported or unsafe outputs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Performance across relevant patient populations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Recommendations with complete evidence and audit records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Ability to connect recommendations with actions and outcomes</w:t>
      </w:r>
    </w:p>
    <w:p>
      <w:pPr>
        <w:keepNext w:val="0"/>
      </w:pPr>
      <w:r>
        <w:rPr>
          <w:rFonts w:ascii="Calibri" w:hAnsi="Calibri"/>
          <w:i/>
          <w:color w:val="1F2937"/>
        </w:rPr>
        <w:t>Business metrics shall not override clinical safety, privacy or fairness requirements.</w:t>
      </w:r>
    </w:p>
    <w:p>
      <w:r>
        <w:br w:type="page"/>
      </w:r>
    </w:p>
    <w:p>
      <w:pPr>
        <w:pStyle w:val="Heading1"/>
      </w:pPr>
      <w:r>
        <w:t>11. Open decisions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7324D"/>
                <w:sz w:val="18"/>
              </w:rPr>
              <w:t>Decision area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7324D"/>
                <w:sz w:val="18"/>
              </w:rPr>
              <w:t>Required decision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Use cases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Select the initial three to five intelligent use cases and intended users.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Clinical scope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Determine whether any initial output qualifies as clinical decision support.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Regulatory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Confirm jurisdictions and applicable regulatory obligations.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Technology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Approve cloud, model and knowledge-retrieval providers.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Review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Define risk tiers and required human-review levels.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Data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Confirm source-of-truth systems, retention periods and permitted model-development uses.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Service levels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Set availability, latency, recovery and support targets by use case.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Governance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Assign clinical, privacy, security, product and release-approval ownership.</w:t>
            </w:r>
          </w:p>
        </w:tc>
      </w:tr>
    </w:tbl>
    <w:p>
      <w:pPr>
        <w:spacing w:before="0"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B6770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770"/>
        <w:sz w:val="17"/>
      </w:rPr>
      <w:t>HALOFLOW | INTELLIGENT LAYER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ind w:left="0" w:firstLine="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left="0" w:firstLine="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left="0" w:firstLine="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