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2798" w14:textId="77777777" w:rsidR="00BE1FD3" w:rsidRDefault="00A16CC4">
      <w:pPr>
        <w:spacing w:after="40"/>
      </w:pPr>
      <w:r>
        <w:rPr>
          <w:b/>
          <w:bCs/>
          <w:color w:val="042B2B"/>
          <w:sz w:val="24"/>
          <w:szCs w:val="24"/>
        </w:rPr>
        <w:t>Halo Holdings — Track B</w:t>
      </w:r>
    </w:p>
    <w:p w14:paraId="7C95C5FC" w14:textId="77777777" w:rsidR="00BE1FD3" w:rsidRDefault="00A16CC4">
      <w:pPr>
        <w:spacing w:after="200"/>
      </w:pPr>
      <w:r>
        <w:rPr>
          <w:b/>
          <w:bCs/>
          <w:color w:val="042B2B"/>
          <w:sz w:val="32"/>
          <w:szCs w:val="32"/>
        </w:rPr>
        <w:t>Autonomous Eligibility Verification — Requirements Document</w:t>
      </w:r>
    </w:p>
    <w:p w14:paraId="18D95799" w14:textId="77777777" w:rsidR="00BE1FD3" w:rsidRDefault="00A16CC4">
      <w:pPr>
        <w:spacing w:after="160"/>
      </w:pPr>
      <w:r>
        <w:rPr>
          <w:i/>
          <w:iCs/>
          <w:color w:val="5F5E5A"/>
        </w:rPr>
        <w:t>Internal working document. Synthesizes three rounds of external research review of the eligibility-verification / visit-preparation market against Track B's existing architecture and Tier 2/3 boundaries. Not for external distribution — contains open strategic questions.</w:t>
      </w:r>
    </w:p>
    <w:p w14:paraId="65025695" w14:textId="77777777" w:rsidR="00BE1FD3" w:rsidRDefault="00A16CC4">
      <w:pPr>
        <w:spacing w:after="160"/>
      </w:pPr>
      <w:r>
        <w:rPr>
          <w:i/>
          <w:iCs/>
          <w:color w:val="5F5E5A"/>
        </w:rPr>
        <w:t>Last updated: July 31, 2026</w:t>
      </w:r>
    </w:p>
    <w:p w14:paraId="25C06F57" w14:textId="77777777" w:rsidR="00BE1FD3" w:rsidRDefault="00A16CC4">
      <w:pPr>
        <w:pStyle w:val="Heading1"/>
        <w:spacing w:before="360" w:after="160"/>
      </w:pPr>
      <w:r>
        <w:rPr>
          <w:b/>
          <w:bCs/>
          <w:color w:val="042B2B"/>
        </w:rPr>
        <w:t>1. Purpose</w:t>
      </w:r>
    </w:p>
    <w:p w14:paraId="627C34F2" w14:textId="77777777" w:rsidR="00BE1FD3" w:rsidRDefault="00A16CC4">
      <w:pPr>
        <w:spacing w:after="160"/>
      </w:pPr>
      <w:r>
        <w:t>This document captures the requirements for HaloFlow's eligibility-verification capability, elevated to a core, EMR-agnostic use case following two rounds of independent research review. It reconciles that research's broader vision against Track B's existing Tier 2/3/4 boundaries and its architectural principle that automation never acts autonomously on clinical or scheduling decisions.</w:t>
      </w:r>
    </w:p>
    <w:p w14:paraId="520807AC" w14:textId="77777777" w:rsidR="00BE1FD3" w:rsidRDefault="00A16CC4">
      <w:pPr>
        <w:pStyle w:val="Heading1"/>
        <w:spacing w:before="360" w:after="160"/>
      </w:pPr>
      <w:r>
        <w:rPr>
          <w:b/>
          <w:bCs/>
          <w:color w:val="042B2B"/>
        </w:rPr>
        <w:t>2. Market Gap Synthesis</w:t>
      </w:r>
    </w:p>
    <w:p w14:paraId="191B3092" w14:textId="77777777" w:rsidR="00BE1FD3" w:rsidRDefault="00A16CC4">
      <w:pPr>
        <w:spacing w:after="160"/>
      </w:pPr>
      <w:r>
        <w:t>Both research reviews agree on the central fact: electronic eligibility transmission (X12 270/271) is already near-universal — approximately 96% of medical eligibility checks by transaction volume. The opportunity is not connecting clinics to payers electronically; that capability already exists in the EMR/clearinghouse. The opportunity is everything that happens before and after the transaction fires:</w:t>
      </w:r>
    </w:p>
    <w:p w14:paraId="432317C6" w14:textId="77777777" w:rsidR="00BE1FD3" w:rsidRDefault="00A16CC4">
      <w:pPr>
        <w:pStyle w:val="ListParagraph"/>
        <w:numPr>
          <w:ilvl w:val="0"/>
          <w:numId w:val="1"/>
        </w:numPr>
        <w:spacing w:after="120"/>
      </w:pPr>
      <w:r>
        <w:rPr>
          <w:b/>
          <w:bCs/>
        </w:rPr>
        <w:t xml:space="preserve">Before the transaction: </w:t>
      </w:r>
      <w:r>
        <w:t>nobody proactively decides which appointments need a check and triggers it without a staff member clicking a button.</w:t>
      </w:r>
    </w:p>
    <w:p w14:paraId="3453CC64" w14:textId="77777777" w:rsidR="00BE1FD3" w:rsidRDefault="00A16CC4">
      <w:pPr>
        <w:pStyle w:val="ListParagraph"/>
        <w:numPr>
          <w:ilvl w:val="0"/>
          <w:numId w:val="1"/>
        </w:numPr>
        <w:spacing w:after="120"/>
      </w:pPr>
      <w:r>
        <w:rPr>
          <w:b/>
          <w:bCs/>
        </w:rPr>
        <w:t xml:space="preserve">Around the transaction: </w:t>
      </w:r>
      <w:r>
        <w:t>a clean 271 response doesn't answer the questions staff actually need answered — network status, referral/authorization requirements, deductible remaining, specialist copay, coordination of benefits.</w:t>
      </w:r>
    </w:p>
    <w:p w14:paraId="0DD4DA6B" w14:textId="77777777" w:rsidR="00BE1FD3" w:rsidRDefault="00A16CC4">
      <w:pPr>
        <w:pStyle w:val="ListParagraph"/>
        <w:numPr>
          <w:ilvl w:val="0"/>
          <w:numId w:val="1"/>
        </w:numPr>
        <w:spacing w:after="120"/>
      </w:pPr>
      <w:r>
        <w:rPr>
          <w:b/>
          <w:bCs/>
        </w:rPr>
        <w:t xml:space="preserve">After the transaction: </w:t>
      </w:r>
      <w:r>
        <w:t>exceptions (mismatched demographics, terminated coverage, unsupported service codes, payer timeouts) consume disproportionate staff time relative to their share of total volume, and portal/IVR follow-up is disproportionately labor-heavy even though it's a small share of transactions.</w:t>
      </w:r>
    </w:p>
    <w:p w14:paraId="39CBF64A" w14:textId="77777777" w:rsidR="00BE1FD3" w:rsidRDefault="00A16CC4">
      <w:pPr>
        <w:pStyle w:val="ListParagraph"/>
        <w:numPr>
          <w:ilvl w:val="0"/>
          <w:numId w:val="1"/>
        </w:numPr>
        <w:spacing w:after="120"/>
      </w:pPr>
      <w:r>
        <w:rPr>
          <w:b/>
          <w:bCs/>
        </w:rPr>
        <w:t xml:space="preserve">Throughout: </w:t>
      </w:r>
      <w:r>
        <w:t>the workflow around the transaction — finding which patients need checks, interpreting results, documenting them in the EHR, deciding what to do about problems, re-checking closer to the visit — is manual even when the transaction itself is electronic.</w:t>
      </w:r>
    </w:p>
    <w:p w14:paraId="60B4504B" w14:textId="77777777" w:rsidR="00BE1FD3" w:rsidRDefault="00A16CC4">
      <w:pPr>
        <w:spacing w:after="160"/>
      </w:pPr>
      <w:r>
        <w:t>Independent, corroborating context: solo practitioners engage in interoperability functions at roughly one-fifth the rate of physicians in the largest practices, and are markedly less likely to integrate outside data into their EHR than physicians in larger group settings. This is general interoperability data, not eligibility-specific, but it supports the underlying resource-gap argument: small practices are the least equipped to build or configure this kind of workflow automation themselves, and the least</w:t>
      </w:r>
      <w:r>
        <w:t xml:space="preserve"> likely to have already done so.</w:t>
      </w:r>
    </w:p>
    <w:p w14:paraId="00793E2B" w14:textId="77777777" w:rsidR="00BE1FD3" w:rsidRDefault="00A16CC4">
      <w:pPr>
        <w:pStyle w:val="Heading1"/>
        <w:spacing w:before="360" w:after="160"/>
      </w:pPr>
      <w:r>
        <w:rPr>
          <w:b/>
          <w:bCs/>
          <w:color w:val="042B2B"/>
        </w:rPr>
        <w:t>3. Recommended Positioning</w:t>
      </w:r>
    </w:p>
    <w:p w14:paraId="4652A0D5" w14:textId="77777777" w:rsidR="00BE1FD3" w:rsidRDefault="00A16CC4">
      <w:pPr>
        <w:pBdr>
          <w:left w:val="single" w:sz="24" w:space="8" w:color="DBAA47"/>
        </w:pBdr>
        <w:shd w:val="clear" w:color="auto" w:fill="F6F1DD"/>
        <w:spacing w:before="200" w:after="80"/>
        <w:ind w:left="100"/>
      </w:pPr>
      <w:r>
        <w:rPr>
          <w:b/>
          <w:bCs/>
          <w:color w:val="042B2B"/>
        </w:rPr>
        <w:t>Do not position this as “we connect clinics to 270/271.”</w:t>
      </w:r>
    </w:p>
    <w:p w14:paraId="6AF0E178" w14:textId="77777777" w:rsidR="00BE1FD3" w:rsidRDefault="00A16CC4">
      <w:pPr>
        <w:pBdr>
          <w:left w:val="single" w:sz="24" w:space="8" w:color="DBAA47"/>
        </w:pBdr>
        <w:shd w:val="clear" w:color="auto" w:fill="F6F1DD"/>
        <w:spacing w:after="200"/>
        <w:ind w:left="100"/>
      </w:pPr>
      <w:r>
        <w:t>That capability is already available from virtually every EHR and clearinghouse. The defensible position is completing the workflow around an eligibility check that already exists in some form: automatically deciding when a check is needed, running it without a staff click, normalizing and interpreting the response, resolving what can be resolved deterministically, and surfacing only genuine exceptions to staff — documented in the EHR without re-entry.</w:t>
      </w:r>
    </w:p>
    <w:p w14:paraId="3606B8F2" w14:textId="77777777" w:rsidR="00BE1FD3" w:rsidRDefault="00A16CC4">
      <w:pPr>
        <w:spacing w:after="160"/>
      </w:pPr>
      <w:r>
        <w:t xml:space="preserve">Naming is an open question (see Section 8) — research suggests “Autonomous Visit Readiness” as a broader frame than “Eligibility Verification,” since eligibility is one piece of appointment-readiness rather than the whole story. </w:t>
      </w:r>
      <w:r>
        <w:lastRenderedPageBreak/>
        <w:t>This document treats eligibility as the immediate, in-scope capability regardless of what the broader module is ultimately named.</w:t>
      </w:r>
    </w:p>
    <w:p w14:paraId="3AF1FB99" w14:textId="77777777" w:rsidR="00BE1FD3" w:rsidRDefault="00A16CC4">
      <w:pPr>
        <w:pStyle w:val="Heading1"/>
        <w:spacing w:before="360" w:after="160"/>
      </w:pPr>
      <w:r>
        <w:rPr>
          <w:b/>
          <w:bCs/>
          <w:color w:val="042B2B"/>
        </w:rPr>
        <w:t>4. Functional Requirements — Tier 2 (In Current Pilot Scope)</w:t>
      </w:r>
    </w:p>
    <w:p w14:paraId="704DF4B2" w14:textId="77777777" w:rsidR="00BE1FD3" w:rsidRDefault="00A16CC4">
      <w:pPr>
        <w:spacing w:after="160"/>
      </w:pPr>
      <w:r>
        <w:t>These stay within the existing Tier 2 mandate: rules-based, non-AI, non-voice, deterministic, and consistent with the already-locked two-touchpoint pattern (post-booking / pre-approval, and day-of-visit).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60"/>
        <w:gridCol w:w="1500"/>
      </w:tblGrid>
      <w:tr w:rsidR="00BE1FD3" w14:paraId="2775E125" w14:textId="77777777">
        <w:tblPrEx>
          <w:tblCellMar>
            <w:top w:w="0" w:type="dxa"/>
            <w:bottom w:w="0" w:type="dxa"/>
          </w:tblCellMar>
        </w:tblPrEx>
        <w:trPr>
          <w:tblHeader/>
        </w:trPr>
        <w:tc>
          <w:tcPr>
            <w:tcW w:w="2400" w:type="dxa"/>
            <w:shd w:val="clear" w:color="auto" w:fill="042B2B"/>
            <w:tcMar>
              <w:top w:w="100" w:type="dxa"/>
              <w:left w:w="120" w:type="dxa"/>
              <w:bottom w:w="100" w:type="dxa"/>
              <w:right w:w="120" w:type="dxa"/>
            </w:tcMar>
            <w:vAlign w:val="center"/>
          </w:tcPr>
          <w:p w14:paraId="79B141E1" w14:textId="77777777" w:rsidR="00BE1FD3" w:rsidRDefault="00A16CC4">
            <w:r>
              <w:rPr>
                <w:b/>
                <w:bCs/>
                <w:color w:val="FFFFFF"/>
              </w:rPr>
              <w:t>Requirement</w:t>
            </w:r>
          </w:p>
        </w:tc>
        <w:tc>
          <w:tcPr>
            <w:tcW w:w="5460" w:type="dxa"/>
            <w:shd w:val="clear" w:color="auto" w:fill="042B2B"/>
            <w:tcMar>
              <w:top w:w="100" w:type="dxa"/>
              <w:left w:w="120" w:type="dxa"/>
              <w:bottom w:w="100" w:type="dxa"/>
              <w:right w:w="120" w:type="dxa"/>
            </w:tcMar>
            <w:vAlign w:val="center"/>
          </w:tcPr>
          <w:p w14:paraId="20394043" w14:textId="77777777" w:rsidR="00BE1FD3" w:rsidRDefault="00A16CC4">
            <w:r>
              <w:rPr>
                <w:b/>
                <w:bCs/>
                <w:color w:val="FFFFFF"/>
              </w:rPr>
              <w:t>Description</w:t>
            </w:r>
          </w:p>
        </w:tc>
        <w:tc>
          <w:tcPr>
            <w:tcW w:w="1500" w:type="dxa"/>
            <w:shd w:val="clear" w:color="auto" w:fill="042B2B"/>
            <w:tcMar>
              <w:top w:w="100" w:type="dxa"/>
              <w:left w:w="120" w:type="dxa"/>
              <w:bottom w:w="100" w:type="dxa"/>
              <w:right w:w="120" w:type="dxa"/>
            </w:tcMar>
            <w:vAlign w:val="center"/>
          </w:tcPr>
          <w:p w14:paraId="4F6316FE" w14:textId="77777777" w:rsidR="00BE1FD3" w:rsidRDefault="00A16CC4">
            <w:r>
              <w:rPr>
                <w:b/>
                <w:bCs/>
                <w:color w:val="FFFFFF"/>
              </w:rPr>
              <w:t>Nature</w:t>
            </w:r>
          </w:p>
        </w:tc>
      </w:tr>
      <w:tr w:rsidR="00BE1FD3" w14:paraId="29AC3C0F" w14:textId="77777777">
        <w:tblPrEx>
          <w:tblCellMar>
            <w:top w:w="0" w:type="dxa"/>
            <w:bottom w:w="0" w:type="dxa"/>
          </w:tblCellMar>
        </w:tblPrEx>
        <w:tc>
          <w:tcPr>
            <w:tcW w:w="2400" w:type="dxa"/>
            <w:tcMar>
              <w:top w:w="100" w:type="dxa"/>
              <w:left w:w="120" w:type="dxa"/>
              <w:bottom w:w="100" w:type="dxa"/>
              <w:right w:w="120" w:type="dxa"/>
            </w:tcMar>
            <w:vAlign w:val="center"/>
          </w:tcPr>
          <w:p w14:paraId="704B1E3B" w14:textId="77777777" w:rsidR="00BE1FD3" w:rsidRDefault="00A16CC4">
            <w:r>
              <w:rPr>
                <w:b/>
                <w:bCs/>
              </w:rPr>
              <w:t>Automated worklist creation</w:t>
            </w:r>
          </w:p>
        </w:tc>
        <w:tc>
          <w:tcPr>
            <w:tcW w:w="5460" w:type="dxa"/>
            <w:tcMar>
              <w:top w:w="100" w:type="dxa"/>
              <w:left w:w="120" w:type="dxa"/>
              <w:bottom w:w="100" w:type="dxa"/>
              <w:right w:w="120" w:type="dxa"/>
            </w:tcMar>
            <w:vAlign w:val="center"/>
          </w:tcPr>
          <w:p w14:paraId="0CD3BCD1" w14:textId="77777777" w:rsidR="00BE1FD3" w:rsidRDefault="00A16CC4">
            <w:r>
              <w:t>Daily process identifies upcoming appointments and determines which require an eligibility check, based on appointment date, payer, and age of any prior verification. No staff click required to initiate.</w:t>
            </w:r>
          </w:p>
        </w:tc>
        <w:tc>
          <w:tcPr>
            <w:tcW w:w="1500" w:type="dxa"/>
            <w:tcMar>
              <w:top w:w="100" w:type="dxa"/>
              <w:left w:w="120" w:type="dxa"/>
              <w:bottom w:w="100" w:type="dxa"/>
              <w:right w:w="120" w:type="dxa"/>
            </w:tcMar>
            <w:vAlign w:val="center"/>
          </w:tcPr>
          <w:p w14:paraId="31FF494F" w14:textId="77777777" w:rsidR="00BE1FD3" w:rsidRDefault="00A16CC4">
            <w:r>
              <w:t>Deterministic / rules-based</w:t>
            </w:r>
          </w:p>
        </w:tc>
      </w:tr>
      <w:tr w:rsidR="00BE1FD3" w14:paraId="165FBB78" w14:textId="77777777">
        <w:tblPrEx>
          <w:tblCellMar>
            <w:top w:w="0" w:type="dxa"/>
            <w:bottom w:w="0" w:type="dxa"/>
          </w:tblCellMar>
        </w:tblPrEx>
        <w:tc>
          <w:tcPr>
            <w:tcW w:w="2400" w:type="dxa"/>
            <w:tcMar>
              <w:top w:w="100" w:type="dxa"/>
              <w:left w:w="120" w:type="dxa"/>
              <w:bottom w:w="100" w:type="dxa"/>
              <w:right w:w="120" w:type="dxa"/>
            </w:tcMar>
            <w:vAlign w:val="center"/>
          </w:tcPr>
          <w:p w14:paraId="4F88D58D" w14:textId="77777777" w:rsidR="00BE1FD3" w:rsidRDefault="00A16CC4">
            <w:r>
              <w:rPr>
                <w:b/>
                <w:bCs/>
              </w:rPr>
              <w:t>Dual-touchpoint 270/271 orchestration</w:t>
            </w:r>
          </w:p>
        </w:tc>
        <w:tc>
          <w:tcPr>
            <w:tcW w:w="5460" w:type="dxa"/>
            <w:tcMar>
              <w:top w:w="100" w:type="dxa"/>
              <w:left w:w="120" w:type="dxa"/>
              <w:bottom w:w="100" w:type="dxa"/>
              <w:right w:w="120" w:type="dxa"/>
            </w:tcMar>
            <w:vAlign w:val="center"/>
          </w:tcPr>
          <w:p w14:paraId="4F7574B6" w14:textId="77777777" w:rsidR="00BE1FD3" w:rsidRDefault="00A16CC4">
            <w:r>
              <w:t>Runs the check through the clinic's existing clearinghouse connection (CGM eMEDIX or equivalent) at two points: (1) immediately after booking, before doctor approval; (2) the day of the visit, to catch late changes. Does not build a direct payer interface — uses the clearinghouse the clinic already has.</w:t>
            </w:r>
          </w:p>
        </w:tc>
        <w:tc>
          <w:tcPr>
            <w:tcW w:w="1500" w:type="dxa"/>
            <w:tcMar>
              <w:top w:w="100" w:type="dxa"/>
              <w:left w:w="120" w:type="dxa"/>
              <w:bottom w:w="100" w:type="dxa"/>
              <w:right w:w="120" w:type="dxa"/>
            </w:tcMar>
            <w:vAlign w:val="center"/>
          </w:tcPr>
          <w:p w14:paraId="680B58EF" w14:textId="77777777" w:rsidR="00BE1FD3" w:rsidRDefault="00A16CC4">
            <w:r>
              <w:t>Deterministic / rules-based</w:t>
            </w:r>
          </w:p>
        </w:tc>
      </w:tr>
      <w:tr w:rsidR="00BE1FD3" w14:paraId="0B10F8A1" w14:textId="77777777">
        <w:tblPrEx>
          <w:tblCellMar>
            <w:top w:w="0" w:type="dxa"/>
            <w:bottom w:w="0" w:type="dxa"/>
          </w:tblCellMar>
        </w:tblPrEx>
        <w:tc>
          <w:tcPr>
            <w:tcW w:w="2400" w:type="dxa"/>
            <w:tcMar>
              <w:top w:w="100" w:type="dxa"/>
              <w:left w:w="120" w:type="dxa"/>
              <w:bottom w:w="100" w:type="dxa"/>
              <w:right w:w="120" w:type="dxa"/>
            </w:tcMar>
            <w:vAlign w:val="center"/>
          </w:tcPr>
          <w:p w14:paraId="71A79A9F" w14:textId="77777777" w:rsidR="00BE1FD3" w:rsidRDefault="00A16CC4">
            <w:r>
              <w:rPr>
                <w:b/>
                <w:bCs/>
              </w:rPr>
              <w:t>Response normalization</w:t>
            </w:r>
          </w:p>
        </w:tc>
        <w:tc>
          <w:tcPr>
            <w:tcW w:w="5460" w:type="dxa"/>
            <w:tcMar>
              <w:top w:w="100" w:type="dxa"/>
              <w:left w:w="120" w:type="dxa"/>
              <w:bottom w:w="100" w:type="dxa"/>
              <w:right w:w="120" w:type="dxa"/>
            </w:tcMar>
            <w:vAlign w:val="center"/>
          </w:tcPr>
          <w:p w14:paraId="45E3B029" w14:textId="77777777" w:rsidR="00BE1FD3" w:rsidRDefault="00A16CC4">
            <w:r>
              <w:t>Converts each payer's raw 271 response into one consistent internal structure: active/inactive, plan/product, copay, deductible and remaining deductible, coinsurance, referral and authorization indicators, source and timestamp.</w:t>
            </w:r>
          </w:p>
        </w:tc>
        <w:tc>
          <w:tcPr>
            <w:tcW w:w="1500" w:type="dxa"/>
            <w:tcMar>
              <w:top w:w="100" w:type="dxa"/>
              <w:left w:w="120" w:type="dxa"/>
              <w:bottom w:w="100" w:type="dxa"/>
              <w:right w:w="120" w:type="dxa"/>
            </w:tcMar>
            <w:vAlign w:val="center"/>
          </w:tcPr>
          <w:p w14:paraId="4AE9EC09" w14:textId="77777777" w:rsidR="00BE1FD3" w:rsidRDefault="00A16CC4">
            <w:r>
              <w:t>Deterministic / rules-based</w:t>
            </w:r>
          </w:p>
        </w:tc>
      </w:tr>
      <w:tr w:rsidR="00BE1FD3" w14:paraId="54A6A06B" w14:textId="77777777">
        <w:tblPrEx>
          <w:tblCellMar>
            <w:top w:w="0" w:type="dxa"/>
            <w:bottom w:w="0" w:type="dxa"/>
          </w:tblCellMar>
        </w:tblPrEx>
        <w:tc>
          <w:tcPr>
            <w:tcW w:w="2400" w:type="dxa"/>
            <w:tcMar>
              <w:top w:w="100" w:type="dxa"/>
              <w:left w:w="120" w:type="dxa"/>
              <w:bottom w:w="100" w:type="dxa"/>
              <w:right w:w="120" w:type="dxa"/>
            </w:tcMar>
            <w:vAlign w:val="center"/>
          </w:tcPr>
          <w:p w14:paraId="251EE66C" w14:textId="77777777" w:rsidR="00BE1FD3" w:rsidRDefault="00A16CC4">
            <w:r>
              <w:rPr>
                <w:b/>
                <w:bCs/>
              </w:rPr>
              <w:t>Exception categorization</w:t>
            </w:r>
          </w:p>
        </w:tc>
        <w:tc>
          <w:tcPr>
            <w:tcW w:w="5460" w:type="dxa"/>
            <w:tcMar>
              <w:top w:w="100" w:type="dxa"/>
              <w:left w:w="120" w:type="dxa"/>
              <w:bottom w:w="100" w:type="dxa"/>
              <w:right w:w="120" w:type="dxa"/>
            </w:tcMar>
            <w:vAlign w:val="center"/>
          </w:tcPr>
          <w:p w14:paraId="2D7A7DF9" w14:textId="77777777" w:rsidR="00BE1FD3" w:rsidRDefault="00A16CC4">
            <w:r>
              <w:t>Classifies failed or incomplete responses into known categories (subscriber not found, name/DOB mismatch, incorrect member ID, coverage terminated, unsupported service type, payer timeout, etc.) using a fixed rule set — not open-ended judgment.</w:t>
            </w:r>
          </w:p>
        </w:tc>
        <w:tc>
          <w:tcPr>
            <w:tcW w:w="1500" w:type="dxa"/>
            <w:tcMar>
              <w:top w:w="100" w:type="dxa"/>
              <w:left w:w="120" w:type="dxa"/>
              <w:bottom w:w="100" w:type="dxa"/>
              <w:right w:w="120" w:type="dxa"/>
            </w:tcMar>
            <w:vAlign w:val="center"/>
          </w:tcPr>
          <w:p w14:paraId="4F3F90E6" w14:textId="77777777" w:rsidR="00BE1FD3" w:rsidRDefault="00A16CC4">
            <w:r>
              <w:t>Deterministic / rules-based</w:t>
            </w:r>
          </w:p>
        </w:tc>
      </w:tr>
      <w:tr w:rsidR="00BE1FD3" w14:paraId="4842C55C" w14:textId="77777777">
        <w:tblPrEx>
          <w:tblCellMar>
            <w:top w:w="0" w:type="dxa"/>
            <w:bottom w:w="0" w:type="dxa"/>
          </w:tblCellMar>
        </w:tblPrEx>
        <w:tc>
          <w:tcPr>
            <w:tcW w:w="2400" w:type="dxa"/>
            <w:tcMar>
              <w:top w:w="100" w:type="dxa"/>
              <w:left w:w="120" w:type="dxa"/>
              <w:bottom w:w="100" w:type="dxa"/>
              <w:right w:w="120" w:type="dxa"/>
            </w:tcMar>
            <w:vAlign w:val="center"/>
          </w:tcPr>
          <w:p w14:paraId="1765130C" w14:textId="77777777" w:rsidR="00BE1FD3" w:rsidRDefault="00A16CC4">
            <w:r>
              <w:rPr>
                <w:b/>
                <w:bCs/>
              </w:rPr>
              <w:t>Deterministic retry logic</w:t>
            </w:r>
          </w:p>
        </w:tc>
        <w:tc>
          <w:tcPr>
            <w:tcW w:w="5460" w:type="dxa"/>
            <w:tcMar>
              <w:top w:w="100" w:type="dxa"/>
              <w:left w:w="120" w:type="dxa"/>
              <w:bottom w:w="100" w:type="dxa"/>
              <w:right w:w="120" w:type="dxa"/>
            </w:tcMar>
            <w:vAlign w:val="center"/>
          </w:tcPr>
          <w:p w14:paraId="1B987599" w14:textId="77777777" w:rsidR="00BE1FD3" w:rsidRDefault="00A16CC4">
            <w:r>
              <w:t>For specific, known-fixable exception types only (e.g., retry with corrected demographics format), attempts one automated retry before routing to staff. No retries for ambiguous or judgment-dependent cases.</w:t>
            </w:r>
          </w:p>
        </w:tc>
        <w:tc>
          <w:tcPr>
            <w:tcW w:w="1500" w:type="dxa"/>
            <w:tcMar>
              <w:top w:w="100" w:type="dxa"/>
              <w:left w:w="120" w:type="dxa"/>
              <w:bottom w:w="100" w:type="dxa"/>
              <w:right w:w="120" w:type="dxa"/>
            </w:tcMar>
            <w:vAlign w:val="center"/>
          </w:tcPr>
          <w:p w14:paraId="42E437F0" w14:textId="77777777" w:rsidR="00BE1FD3" w:rsidRDefault="00A16CC4">
            <w:r>
              <w:t>Deterministic / rules-based</w:t>
            </w:r>
          </w:p>
        </w:tc>
      </w:tr>
      <w:tr w:rsidR="00BE1FD3" w14:paraId="5D68D192" w14:textId="77777777">
        <w:tblPrEx>
          <w:tblCellMar>
            <w:top w:w="0" w:type="dxa"/>
            <w:bottom w:w="0" w:type="dxa"/>
          </w:tblCellMar>
        </w:tblPrEx>
        <w:tc>
          <w:tcPr>
            <w:tcW w:w="2400" w:type="dxa"/>
            <w:tcMar>
              <w:top w:w="100" w:type="dxa"/>
              <w:left w:w="120" w:type="dxa"/>
              <w:bottom w:w="100" w:type="dxa"/>
              <w:right w:w="120" w:type="dxa"/>
            </w:tcMar>
            <w:vAlign w:val="center"/>
          </w:tcPr>
          <w:p w14:paraId="449A25BA" w14:textId="77777777" w:rsidR="00BE1FD3" w:rsidRDefault="00A16CC4">
            <w:r>
              <w:rPr>
                <w:b/>
                <w:bCs/>
              </w:rPr>
              <w:t>EHR documentation write-back</w:t>
            </w:r>
          </w:p>
        </w:tc>
        <w:tc>
          <w:tcPr>
            <w:tcW w:w="5460" w:type="dxa"/>
            <w:tcMar>
              <w:top w:w="100" w:type="dxa"/>
              <w:left w:w="120" w:type="dxa"/>
              <w:bottom w:w="100" w:type="dxa"/>
              <w:right w:w="120" w:type="dxa"/>
            </w:tcMar>
            <w:vAlign w:val="center"/>
          </w:tcPr>
          <w:p w14:paraId="68A61919" w14:textId="77777777" w:rsidR="00BE1FD3" w:rsidRDefault="00A16CC4">
            <w:r>
              <w:t>Writes the verified result, timestamp, source, and transaction reference into the EHR without staff re-entry.</w:t>
            </w:r>
          </w:p>
        </w:tc>
        <w:tc>
          <w:tcPr>
            <w:tcW w:w="1500" w:type="dxa"/>
            <w:tcMar>
              <w:top w:w="100" w:type="dxa"/>
              <w:left w:w="120" w:type="dxa"/>
              <w:bottom w:w="100" w:type="dxa"/>
              <w:right w:w="120" w:type="dxa"/>
            </w:tcMar>
            <w:vAlign w:val="center"/>
          </w:tcPr>
          <w:p w14:paraId="471DCDB1" w14:textId="77777777" w:rsidR="00BE1FD3" w:rsidRDefault="00A16CC4">
            <w:r>
              <w:t>Deterministic / rules-based</w:t>
            </w:r>
          </w:p>
        </w:tc>
      </w:tr>
      <w:tr w:rsidR="00BE1FD3" w14:paraId="0B5618D3" w14:textId="77777777">
        <w:tblPrEx>
          <w:tblCellMar>
            <w:top w:w="0" w:type="dxa"/>
            <w:bottom w:w="0" w:type="dxa"/>
          </w:tblCellMar>
        </w:tblPrEx>
        <w:tc>
          <w:tcPr>
            <w:tcW w:w="2400" w:type="dxa"/>
            <w:tcMar>
              <w:top w:w="100" w:type="dxa"/>
              <w:left w:w="120" w:type="dxa"/>
              <w:bottom w:w="100" w:type="dxa"/>
              <w:right w:w="120" w:type="dxa"/>
            </w:tcMar>
            <w:vAlign w:val="center"/>
          </w:tcPr>
          <w:p w14:paraId="193CB8D1" w14:textId="77777777" w:rsidR="00BE1FD3" w:rsidRDefault="00A16CC4">
            <w:r>
              <w:rPr>
                <w:b/>
                <w:bCs/>
              </w:rPr>
              <w:t>Staff exception queue</w:t>
            </w:r>
          </w:p>
        </w:tc>
        <w:tc>
          <w:tcPr>
            <w:tcW w:w="5460" w:type="dxa"/>
            <w:tcMar>
              <w:top w:w="100" w:type="dxa"/>
              <w:left w:w="120" w:type="dxa"/>
              <w:bottom w:w="100" w:type="dxa"/>
              <w:right w:w="120" w:type="dxa"/>
            </w:tcMar>
            <w:vAlign w:val="center"/>
          </w:tcPr>
          <w:p w14:paraId="498AD72F" w14:textId="77777777" w:rsidR="00BE1FD3" w:rsidRDefault="00A16CC4">
            <w:r>
              <w:t>Surfaces only unresolved cases as a short worklist; successful verifications generate no staff-facing task.</w:t>
            </w:r>
          </w:p>
        </w:tc>
        <w:tc>
          <w:tcPr>
            <w:tcW w:w="1500" w:type="dxa"/>
            <w:tcMar>
              <w:top w:w="100" w:type="dxa"/>
              <w:left w:w="120" w:type="dxa"/>
              <w:bottom w:w="100" w:type="dxa"/>
              <w:right w:w="120" w:type="dxa"/>
            </w:tcMar>
            <w:vAlign w:val="center"/>
          </w:tcPr>
          <w:p w14:paraId="6E6DF4D2" w14:textId="77777777" w:rsidR="00BE1FD3" w:rsidRDefault="00A16CC4">
            <w:r>
              <w:t>Deterministic / rules-based</w:t>
            </w:r>
          </w:p>
        </w:tc>
      </w:tr>
    </w:tbl>
    <w:p w14:paraId="010305F0" w14:textId="77777777" w:rsidR="00BE1FD3" w:rsidRDefault="00A16CC4">
      <w:pPr>
        <w:pStyle w:val="Heading1"/>
        <w:spacing w:before="360" w:after="160"/>
      </w:pPr>
      <w:r>
        <w:rPr>
          <w:b/>
          <w:bCs/>
          <w:color w:val="042B2B"/>
        </w:rPr>
        <w:t>5. Functional Requirements — Tier 3 Candidates (Not in Current Pilot Scope)</w:t>
      </w:r>
    </w:p>
    <w:p w14:paraId="6C076CE6" w14:textId="77777777" w:rsidR="00BE1FD3" w:rsidRDefault="00A16CC4">
      <w:pPr>
        <w:spacing w:after="160"/>
      </w:pPr>
      <w:r>
        <w:t>These require language generation, document understanding, or judgment-adjacent logic, and belong in Tier 3 (LLM-assisted, via Bedrock/Vertex) once Tier 2 proves out. Listed here so they aren't lost, not as commitments.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6"/>
        <w:gridCol w:w="5114"/>
        <w:gridCol w:w="1940"/>
      </w:tblGrid>
      <w:tr w:rsidR="00BE1FD3" w14:paraId="3A50EBB8" w14:textId="77777777">
        <w:tblPrEx>
          <w:tblCellMar>
            <w:top w:w="0" w:type="dxa"/>
            <w:bottom w:w="0" w:type="dxa"/>
          </w:tblCellMar>
        </w:tblPrEx>
        <w:trPr>
          <w:tblHeader/>
        </w:trPr>
        <w:tc>
          <w:tcPr>
            <w:tcW w:w="2400" w:type="dxa"/>
            <w:shd w:val="clear" w:color="auto" w:fill="042B2B"/>
            <w:tcMar>
              <w:top w:w="100" w:type="dxa"/>
              <w:left w:w="120" w:type="dxa"/>
              <w:bottom w:w="100" w:type="dxa"/>
              <w:right w:w="120" w:type="dxa"/>
            </w:tcMar>
            <w:vAlign w:val="center"/>
          </w:tcPr>
          <w:p w14:paraId="73E9B3E8" w14:textId="77777777" w:rsidR="00BE1FD3" w:rsidRDefault="00A16CC4">
            <w:r>
              <w:rPr>
                <w:b/>
                <w:bCs/>
                <w:color w:val="FFFFFF"/>
              </w:rPr>
              <w:t>Candidate</w:t>
            </w:r>
          </w:p>
        </w:tc>
        <w:tc>
          <w:tcPr>
            <w:tcW w:w="5460" w:type="dxa"/>
            <w:shd w:val="clear" w:color="auto" w:fill="042B2B"/>
            <w:tcMar>
              <w:top w:w="100" w:type="dxa"/>
              <w:left w:w="120" w:type="dxa"/>
              <w:bottom w:w="100" w:type="dxa"/>
              <w:right w:w="120" w:type="dxa"/>
            </w:tcMar>
            <w:vAlign w:val="center"/>
          </w:tcPr>
          <w:p w14:paraId="67A7B680" w14:textId="77777777" w:rsidR="00BE1FD3" w:rsidRDefault="00A16CC4">
            <w:r>
              <w:rPr>
                <w:b/>
                <w:bCs/>
                <w:color w:val="FFFFFF"/>
              </w:rPr>
              <w:t>Description</w:t>
            </w:r>
          </w:p>
        </w:tc>
        <w:tc>
          <w:tcPr>
            <w:tcW w:w="1500" w:type="dxa"/>
            <w:shd w:val="clear" w:color="auto" w:fill="042B2B"/>
            <w:tcMar>
              <w:top w:w="100" w:type="dxa"/>
              <w:left w:w="120" w:type="dxa"/>
              <w:bottom w:w="100" w:type="dxa"/>
              <w:right w:w="120" w:type="dxa"/>
            </w:tcMar>
            <w:vAlign w:val="center"/>
          </w:tcPr>
          <w:p w14:paraId="28114A02" w14:textId="77777777" w:rsidR="00BE1FD3" w:rsidRDefault="00A16CC4">
            <w:r>
              <w:rPr>
                <w:b/>
                <w:bCs/>
                <w:color w:val="FFFFFF"/>
              </w:rPr>
              <w:t>Why Tier 3</w:t>
            </w:r>
          </w:p>
        </w:tc>
      </w:tr>
      <w:tr w:rsidR="00BE1FD3" w14:paraId="51AABF03" w14:textId="77777777">
        <w:tblPrEx>
          <w:tblCellMar>
            <w:top w:w="0" w:type="dxa"/>
            <w:bottom w:w="0" w:type="dxa"/>
          </w:tblCellMar>
        </w:tblPrEx>
        <w:tc>
          <w:tcPr>
            <w:tcW w:w="2400" w:type="dxa"/>
            <w:tcMar>
              <w:top w:w="100" w:type="dxa"/>
              <w:left w:w="120" w:type="dxa"/>
              <w:bottom w:w="100" w:type="dxa"/>
              <w:right w:w="120" w:type="dxa"/>
            </w:tcMar>
            <w:vAlign w:val="center"/>
          </w:tcPr>
          <w:p w14:paraId="4D6FC623" w14:textId="77777777" w:rsidR="00BE1FD3" w:rsidRDefault="00A16CC4">
            <w:r>
              <w:rPr>
                <w:b/>
                <w:bCs/>
              </w:rPr>
              <w:t>Benefit interpretation summary</w:t>
            </w:r>
          </w:p>
        </w:tc>
        <w:tc>
          <w:tcPr>
            <w:tcW w:w="5460" w:type="dxa"/>
            <w:tcMar>
              <w:top w:w="100" w:type="dxa"/>
              <w:left w:w="120" w:type="dxa"/>
              <w:bottom w:w="100" w:type="dxa"/>
              <w:right w:w="120" w:type="dxa"/>
            </w:tcMar>
            <w:vAlign w:val="center"/>
          </w:tcPr>
          <w:p w14:paraId="541113D1" w14:textId="77777777" w:rsidR="00BE1FD3" w:rsidRDefault="00A16CC4">
            <w:r>
              <w:t xml:space="preserve">Drafts a plain-language summary of what a 271 response means for this specific visit (e.g., “referral required, $75 </w:t>
            </w:r>
            <w:r>
              <w:lastRenderedPageBreak/>
              <w:t>specialist copay, deductible not yet met”) for staff review — not sent to the patient automatically.</w:t>
            </w:r>
          </w:p>
        </w:tc>
        <w:tc>
          <w:tcPr>
            <w:tcW w:w="1500" w:type="dxa"/>
            <w:tcMar>
              <w:top w:w="100" w:type="dxa"/>
              <w:left w:w="120" w:type="dxa"/>
              <w:bottom w:w="100" w:type="dxa"/>
              <w:right w:w="120" w:type="dxa"/>
            </w:tcMar>
            <w:vAlign w:val="center"/>
          </w:tcPr>
          <w:p w14:paraId="2E32105E" w14:textId="77777777" w:rsidR="00BE1FD3" w:rsidRDefault="00A16CC4">
            <w:r>
              <w:lastRenderedPageBreak/>
              <w:t xml:space="preserve">Requires language generation from unstructured/variable </w:t>
            </w:r>
            <w:r>
              <w:lastRenderedPageBreak/>
              <w:t>payer text — collection-and-drafting, not rules-based</w:t>
            </w:r>
          </w:p>
        </w:tc>
      </w:tr>
      <w:tr w:rsidR="00BE1FD3" w14:paraId="5FEEE773" w14:textId="77777777">
        <w:tblPrEx>
          <w:tblCellMar>
            <w:top w:w="0" w:type="dxa"/>
            <w:bottom w:w="0" w:type="dxa"/>
          </w:tblCellMar>
        </w:tblPrEx>
        <w:tc>
          <w:tcPr>
            <w:tcW w:w="2400" w:type="dxa"/>
            <w:tcMar>
              <w:top w:w="100" w:type="dxa"/>
              <w:left w:w="120" w:type="dxa"/>
              <w:bottom w:w="100" w:type="dxa"/>
              <w:right w:w="120" w:type="dxa"/>
            </w:tcMar>
            <w:vAlign w:val="center"/>
          </w:tcPr>
          <w:p w14:paraId="1E6EC044" w14:textId="77777777" w:rsidR="00BE1FD3" w:rsidRDefault="00A16CC4">
            <w:r>
              <w:rPr>
                <w:b/>
                <w:bCs/>
              </w:rPr>
              <w:lastRenderedPageBreak/>
              <w:t>Patient financial estimate drafting</w:t>
            </w:r>
          </w:p>
        </w:tc>
        <w:tc>
          <w:tcPr>
            <w:tcW w:w="5460" w:type="dxa"/>
            <w:tcMar>
              <w:top w:w="100" w:type="dxa"/>
              <w:left w:w="120" w:type="dxa"/>
              <w:bottom w:w="100" w:type="dxa"/>
              <w:right w:w="120" w:type="dxa"/>
            </w:tcMar>
            <w:vAlign w:val="center"/>
          </w:tcPr>
          <w:p w14:paraId="19D2B2F1" w14:textId="77777777" w:rsidR="00BE1FD3" w:rsidRDefault="00A16CC4">
            <w:r>
              <w:t>Produces a draft cost estimate from eligibility data for staff to review and send.</w:t>
            </w:r>
          </w:p>
        </w:tc>
        <w:tc>
          <w:tcPr>
            <w:tcW w:w="1500" w:type="dxa"/>
            <w:tcMar>
              <w:top w:w="100" w:type="dxa"/>
              <w:left w:w="120" w:type="dxa"/>
              <w:bottom w:w="100" w:type="dxa"/>
              <w:right w:w="120" w:type="dxa"/>
            </w:tcMar>
            <w:vAlign w:val="center"/>
          </w:tcPr>
          <w:p w14:paraId="432790E8" w14:textId="77777777" w:rsidR="00BE1FD3" w:rsidRDefault="00A16CC4">
            <w:r>
              <w:t>Drafting task, human sign-off required before anything reaches the patient</w:t>
            </w:r>
          </w:p>
        </w:tc>
      </w:tr>
      <w:tr w:rsidR="00BE1FD3" w14:paraId="01A84F3F" w14:textId="77777777">
        <w:tblPrEx>
          <w:tblCellMar>
            <w:top w:w="0" w:type="dxa"/>
            <w:bottom w:w="0" w:type="dxa"/>
          </w:tblCellMar>
        </w:tblPrEx>
        <w:tc>
          <w:tcPr>
            <w:tcW w:w="2400" w:type="dxa"/>
            <w:tcMar>
              <w:top w:w="100" w:type="dxa"/>
              <w:left w:w="120" w:type="dxa"/>
              <w:bottom w:w="100" w:type="dxa"/>
              <w:right w:w="120" w:type="dxa"/>
            </w:tcMar>
            <w:vAlign w:val="center"/>
          </w:tcPr>
          <w:p w14:paraId="6B321871" w14:textId="77777777" w:rsidR="00BE1FD3" w:rsidRDefault="00A16CC4">
            <w:r>
              <w:rPr>
                <w:b/>
                <w:bCs/>
              </w:rPr>
              <w:t>Self-service insurance update request</w:t>
            </w:r>
          </w:p>
        </w:tc>
        <w:tc>
          <w:tcPr>
            <w:tcW w:w="5460" w:type="dxa"/>
            <w:tcMar>
              <w:top w:w="100" w:type="dxa"/>
              <w:left w:w="120" w:type="dxa"/>
              <w:bottom w:w="100" w:type="dxa"/>
              <w:right w:w="120" w:type="dxa"/>
            </w:tcMar>
            <w:vAlign w:val="center"/>
          </w:tcPr>
          <w:p w14:paraId="7BE095F1" w14:textId="77777777" w:rsidR="00BE1FD3" w:rsidRDefault="00A16CC4">
            <w:r>
              <w:t>When a check fails, sends the patient a request (SMS/portal) to upload updated insurance information, then reruns eligibility automatically once received.</w:t>
            </w:r>
          </w:p>
        </w:tc>
        <w:tc>
          <w:tcPr>
            <w:tcW w:w="1500" w:type="dxa"/>
            <w:tcMar>
              <w:top w:w="100" w:type="dxa"/>
              <w:left w:w="120" w:type="dxa"/>
              <w:bottom w:w="100" w:type="dxa"/>
              <w:right w:w="120" w:type="dxa"/>
            </w:tcMar>
            <w:vAlign w:val="center"/>
          </w:tcPr>
          <w:p w14:paraId="71E53828" w14:textId="77777777" w:rsidR="00BE1FD3" w:rsidRDefault="00A16CC4">
            <w:r>
              <w:t>Patient-facing messaging with conditional logic — needs careful scoping against the charter's “collection only” discipline</w:t>
            </w:r>
          </w:p>
        </w:tc>
      </w:tr>
      <w:tr w:rsidR="00BE1FD3" w14:paraId="795A2DAB" w14:textId="77777777">
        <w:tblPrEx>
          <w:tblCellMar>
            <w:top w:w="0" w:type="dxa"/>
            <w:bottom w:w="0" w:type="dxa"/>
          </w:tblCellMar>
        </w:tblPrEx>
        <w:tc>
          <w:tcPr>
            <w:tcW w:w="2400" w:type="dxa"/>
            <w:tcMar>
              <w:top w:w="100" w:type="dxa"/>
              <w:left w:w="120" w:type="dxa"/>
              <w:bottom w:w="100" w:type="dxa"/>
              <w:right w:w="120" w:type="dxa"/>
            </w:tcMar>
            <w:vAlign w:val="center"/>
          </w:tcPr>
          <w:p w14:paraId="30F4C8FA" w14:textId="77777777" w:rsidR="00BE1FD3" w:rsidRDefault="00A16CC4">
            <w:r>
              <w:rPr>
                <w:b/>
                <w:bCs/>
              </w:rPr>
              <w:t>Eligibility confidence scoring</w:t>
            </w:r>
          </w:p>
        </w:tc>
        <w:tc>
          <w:tcPr>
            <w:tcW w:w="5460" w:type="dxa"/>
            <w:tcMar>
              <w:top w:w="100" w:type="dxa"/>
              <w:left w:w="120" w:type="dxa"/>
              <w:bottom w:w="100" w:type="dxa"/>
              <w:right w:w="120" w:type="dxa"/>
            </w:tcMar>
            <w:vAlign w:val="center"/>
          </w:tcPr>
          <w:p w14:paraId="39CEF54A" w14:textId="77777777" w:rsidR="00BE1FD3" w:rsidRDefault="00A16CC4">
            <w:r>
              <w:t>Flags which normalized responses are clean/trustworthy versus which need human review, even when not a hard failure.</w:t>
            </w:r>
          </w:p>
        </w:tc>
        <w:tc>
          <w:tcPr>
            <w:tcW w:w="1500" w:type="dxa"/>
            <w:tcMar>
              <w:top w:w="100" w:type="dxa"/>
              <w:left w:w="120" w:type="dxa"/>
              <w:bottom w:w="100" w:type="dxa"/>
              <w:right w:w="120" w:type="dxa"/>
            </w:tcMar>
            <w:vAlign w:val="center"/>
          </w:tcPr>
          <w:p w14:paraId="53A4EE63" w14:textId="77777777" w:rsidR="00BE1FD3" w:rsidRDefault="00A16CC4">
            <w:r>
              <w:t>Judgment-adjacent; needs a defined, auditable scoring method before this can be called deterministic</w:t>
            </w:r>
          </w:p>
        </w:tc>
      </w:tr>
      <w:tr w:rsidR="00BE1FD3" w14:paraId="0F21CD84" w14:textId="77777777">
        <w:tblPrEx>
          <w:tblCellMar>
            <w:top w:w="0" w:type="dxa"/>
            <w:bottom w:w="0" w:type="dxa"/>
          </w:tblCellMar>
        </w:tblPrEx>
        <w:tc>
          <w:tcPr>
            <w:tcW w:w="2400" w:type="dxa"/>
            <w:tcMar>
              <w:top w:w="100" w:type="dxa"/>
              <w:left w:w="120" w:type="dxa"/>
              <w:bottom w:w="100" w:type="dxa"/>
              <w:right w:w="120" w:type="dxa"/>
            </w:tcMar>
            <w:vAlign w:val="center"/>
          </w:tcPr>
          <w:p w14:paraId="1396F3EE" w14:textId="77777777" w:rsidR="00BE1FD3" w:rsidRDefault="00A16CC4">
            <w:r>
              <w:rPr>
                <w:b/>
                <w:bCs/>
              </w:rPr>
              <w:t>Referral / authorization flagging</w:t>
            </w:r>
          </w:p>
        </w:tc>
        <w:tc>
          <w:tcPr>
            <w:tcW w:w="5460" w:type="dxa"/>
            <w:tcMar>
              <w:top w:w="100" w:type="dxa"/>
              <w:left w:w="120" w:type="dxa"/>
              <w:bottom w:w="100" w:type="dxa"/>
              <w:right w:w="120" w:type="dxa"/>
            </w:tcMar>
            <w:vAlign w:val="center"/>
          </w:tcPr>
          <w:p w14:paraId="2118C036" w14:textId="77777777" w:rsidR="00BE1FD3" w:rsidRDefault="00A16CC4">
            <w:r>
              <w:t>Detects when a referral or prior authorization is indicated by the 271 response and creates a tracked task — does not request or submit the referral/authorization itself.</w:t>
            </w:r>
          </w:p>
        </w:tc>
        <w:tc>
          <w:tcPr>
            <w:tcW w:w="1500" w:type="dxa"/>
            <w:tcMar>
              <w:top w:w="100" w:type="dxa"/>
              <w:left w:w="120" w:type="dxa"/>
              <w:bottom w:w="100" w:type="dxa"/>
              <w:right w:w="120" w:type="dxa"/>
            </w:tcMar>
            <w:vAlign w:val="center"/>
          </w:tcPr>
          <w:p w14:paraId="4D92ADC9" w14:textId="77777777" w:rsidR="00BE1FD3" w:rsidRDefault="00A16CC4">
            <w:r>
              <w:t>Overlaps with existing Tier 3 “Referral / PA status lookup” item already on the roadmap</w:t>
            </w:r>
          </w:p>
        </w:tc>
      </w:tr>
      <w:tr w:rsidR="00BE1FD3" w14:paraId="5F6F5BE7" w14:textId="77777777">
        <w:tblPrEx>
          <w:tblCellMar>
            <w:top w:w="0" w:type="dxa"/>
            <w:bottom w:w="0" w:type="dxa"/>
          </w:tblCellMar>
        </w:tblPrEx>
        <w:tc>
          <w:tcPr>
            <w:tcW w:w="2400" w:type="dxa"/>
            <w:tcMar>
              <w:top w:w="100" w:type="dxa"/>
              <w:left w:w="120" w:type="dxa"/>
              <w:bottom w:w="100" w:type="dxa"/>
              <w:right w:w="120" w:type="dxa"/>
            </w:tcMar>
            <w:vAlign w:val="center"/>
          </w:tcPr>
          <w:p w14:paraId="1ED5FE19" w14:textId="77777777" w:rsidR="00BE1FD3" w:rsidRDefault="00A16CC4">
            <w:r>
              <w:rPr>
                <w:b/>
                <w:bCs/>
              </w:rPr>
              <w:t>Insurance card OCR at intake</w:t>
            </w:r>
          </w:p>
        </w:tc>
        <w:tc>
          <w:tcPr>
            <w:tcW w:w="5460" w:type="dxa"/>
            <w:tcMar>
              <w:top w:w="100" w:type="dxa"/>
              <w:left w:w="120" w:type="dxa"/>
              <w:bottom w:w="100" w:type="dxa"/>
              <w:right w:w="120" w:type="dxa"/>
            </w:tcMar>
            <w:vAlign w:val="center"/>
          </w:tcPr>
          <w:p w14:paraId="1281C0F4" w14:textId="77777777" w:rsidR="00BE1FD3" w:rsidRDefault="00A16CC4">
            <w:r>
              <w:t>Extracts payer/member ID from a photographed insurance card to reduce manual entry for new patients.</w:t>
            </w:r>
          </w:p>
        </w:tc>
        <w:tc>
          <w:tcPr>
            <w:tcW w:w="1500" w:type="dxa"/>
            <w:tcMar>
              <w:top w:w="100" w:type="dxa"/>
              <w:left w:w="120" w:type="dxa"/>
              <w:bottom w:w="100" w:type="dxa"/>
              <w:right w:w="120" w:type="dxa"/>
            </w:tcMar>
            <w:vAlign w:val="center"/>
          </w:tcPr>
          <w:p w14:paraId="16D40924" w14:textId="77777777" w:rsidR="00BE1FD3" w:rsidRDefault="00A16CC4">
            <w:r>
              <w:t>Requires document understanding, same category as the deferred fax-OCR Tier 3 item</w:t>
            </w:r>
          </w:p>
        </w:tc>
      </w:tr>
    </w:tbl>
    <w:p w14:paraId="4E25A51A" w14:textId="77777777" w:rsidR="00BE1FD3" w:rsidRDefault="00A16CC4">
      <w:pPr>
        <w:pStyle w:val="Heading1"/>
        <w:spacing w:before="360" w:after="160"/>
      </w:pPr>
      <w:r>
        <w:rPr>
          <w:b/>
          <w:bCs/>
          <w:color w:val="042B2B"/>
        </w:rPr>
        <w:t>6. Explicitly Out of Scope for This Requirements Set</w:t>
      </w:r>
    </w:p>
    <w:p w14:paraId="153BBDC6" w14:textId="77777777" w:rsidR="00BE1FD3" w:rsidRDefault="00A16CC4">
      <w:pPr>
        <w:spacing w:after="160"/>
      </w:pPr>
      <w:r>
        <w:t>Ideas raised in the research that either belong to a different tier already on the roadmap, conflict with an existing architectural constraint, or represent a scope expansion large enough to need its own separate requirements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BE1FD3" w14:paraId="28B407B7" w14:textId="77777777">
        <w:tblPrEx>
          <w:tblCellMar>
            <w:top w:w="0" w:type="dxa"/>
            <w:bottom w:w="0" w:type="dxa"/>
          </w:tblCellMar>
        </w:tblPrEx>
        <w:trPr>
          <w:tblHeader/>
        </w:trPr>
        <w:tc>
          <w:tcPr>
            <w:tcW w:w="2600" w:type="dxa"/>
            <w:shd w:val="clear" w:color="auto" w:fill="042B2B"/>
            <w:tcMar>
              <w:top w:w="100" w:type="dxa"/>
              <w:left w:w="120" w:type="dxa"/>
              <w:bottom w:w="100" w:type="dxa"/>
              <w:right w:w="120" w:type="dxa"/>
            </w:tcMar>
            <w:vAlign w:val="center"/>
          </w:tcPr>
          <w:p w14:paraId="2FEC1AEA" w14:textId="77777777" w:rsidR="00BE1FD3" w:rsidRDefault="00A16CC4">
            <w:r>
              <w:rPr>
                <w:b/>
                <w:bCs/>
                <w:color w:val="FFFFFF"/>
              </w:rPr>
              <w:t>Idea (from research)</w:t>
            </w:r>
          </w:p>
        </w:tc>
        <w:tc>
          <w:tcPr>
            <w:tcW w:w="4760" w:type="dxa"/>
            <w:shd w:val="clear" w:color="auto" w:fill="042B2B"/>
            <w:tcMar>
              <w:top w:w="100" w:type="dxa"/>
              <w:left w:w="120" w:type="dxa"/>
              <w:bottom w:w="100" w:type="dxa"/>
              <w:right w:w="120" w:type="dxa"/>
            </w:tcMar>
            <w:vAlign w:val="center"/>
          </w:tcPr>
          <w:p w14:paraId="0FD14F83" w14:textId="77777777" w:rsidR="00BE1FD3" w:rsidRDefault="00A16CC4">
            <w:r>
              <w:rPr>
                <w:b/>
                <w:bCs/>
                <w:color w:val="FFFFFF"/>
              </w:rPr>
              <w:t>Why it's excluded here</w:t>
            </w:r>
          </w:p>
        </w:tc>
        <w:tc>
          <w:tcPr>
            <w:tcW w:w="2000" w:type="dxa"/>
            <w:shd w:val="clear" w:color="auto" w:fill="042B2B"/>
            <w:tcMar>
              <w:top w:w="100" w:type="dxa"/>
              <w:left w:w="120" w:type="dxa"/>
              <w:bottom w:w="100" w:type="dxa"/>
              <w:right w:w="120" w:type="dxa"/>
            </w:tcMar>
            <w:vAlign w:val="center"/>
          </w:tcPr>
          <w:p w14:paraId="6BE41986" w14:textId="77777777" w:rsidR="00BE1FD3" w:rsidRDefault="00A16CC4">
            <w:r>
              <w:rPr>
                <w:b/>
                <w:bCs/>
                <w:color w:val="FFFFFF"/>
              </w:rPr>
              <w:t>Where it belongs, if anywhere</w:t>
            </w:r>
          </w:p>
        </w:tc>
      </w:tr>
      <w:tr w:rsidR="00BE1FD3" w14:paraId="6A511E25" w14:textId="77777777">
        <w:tblPrEx>
          <w:tblCellMar>
            <w:top w:w="0" w:type="dxa"/>
            <w:bottom w:w="0" w:type="dxa"/>
          </w:tblCellMar>
        </w:tblPrEx>
        <w:tc>
          <w:tcPr>
            <w:tcW w:w="2600" w:type="dxa"/>
            <w:tcMar>
              <w:top w:w="100" w:type="dxa"/>
              <w:left w:w="120" w:type="dxa"/>
              <w:bottom w:w="100" w:type="dxa"/>
              <w:right w:w="120" w:type="dxa"/>
            </w:tcMar>
            <w:vAlign w:val="center"/>
          </w:tcPr>
          <w:p w14:paraId="1D98CFD3" w14:textId="77777777" w:rsidR="00BE1FD3" w:rsidRDefault="00A16CC4">
            <w:r>
              <w:rPr>
                <w:b/>
                <w:bCs/>
              </w:rPr>
              <w:t>Voice agent checks eligibility live during the intake call, before booking</w:t>
            </w:r>
          </w:p>
        </w:tc>
        <w:tc>
          <w:tcPr>
            <w:tcW w:w="4760" w:type="dxa"/>
            <w:tcMar>
              <w:top w:w="100" w:type="dxa"/>
              <w:left w:w="120" w:type="dxa"/>
              <w:bottom w:w="100" w:type="dxa"/>
              <w:right w:w="120" w:type="dxa"/>
            </w:tcMar>
            <w:vAlign w:val="center"/>
          </w:tcPr>
          <w:p w14:paraId="0A698B0D" w14:textId="77777777" w:rsidR="00BE1FD3" w:rsidRDefault="00A16CC4">
            <w:r>
              <w:t>Real capability, but it's a voice-channel use case, not an eligibility-workflow one — duplicates what's already scoped as Tier 4 (voice, via Retell)</w:t>
            </w:r>
          </w:p>
        </w:tc>
        <w:tc>
          <w:tcPr>
            <w:tcW w:w="2000" w:type="dxa"/>
            <w:tcMar>
              <w:top w:w="100" w:type="dxa"/>
              <w:left w:w="120" w:type="dxa"/>
              <w:bottom w:w="100" w:type="dxa"/>
              <w:right w:w="120" w:type="dxa"/>
            </w:tcMar>
            <w:vAlign w:val="center"/>
          </w:tcPr>
          <w:p w14:paraId="0E082A72" w14:textId="77777777" w:rsidR="00BE1FD3" w:rsidRDefault="00A16CC4">
            <w:r>
              <w:t>Tier 4 — fold into the existing voice-booking flow rather than treating as a new module</w:t>
            </w:r>
          </w:p>
        </w:tc>
      </w:tr>
      <w:tr w:rsidR="00BE1FD3" w14:paraId="5DD824BE" w14:textId="77777777">
        <w:tblPrEx>
          <w:tblCellMar>
            <w:top w:w="0" w:type="dxa"/>
            <w:bottom w:w="0" w:type="dxa"/>
          </w:tblCellMar>
        </w:tblPrEx>
        <w:tc>
          <w:tcPr>
            <w:tcW w:w="2600" w:type="dxa"/>
            <w:tcMar>
              <w:top w:w="100" w:type="dxa"/>
              <w:left w:w="120" w:type="dxa"/>
              <w:bottom w:w="100" w:type="dxa"/>
              <w:right w:w="120" w:type="dxa"/>
            </w:tcMar>
            <w:vAlign w:val="center"/>
          </w:tcPr>
          <w:p w14:paraId="44FE5D43" w14:textId="77777777" w:rsidR="00BE1FD3" w:rsidRDefault="00A16CC4">
            <w:r>
              <w:rPr>
                <w:b/>
                <w:bCs/>
              </w:rPr>
              <w:lastRenderedPageBreak/>
              <w:t>Agent decides to reschedule, collect a deposit, or request authorization on its own</w:t>
            </w:r>
          </w:p>
        </w:tc>
        <w:tc>
          <w:tcPr>
            <w:tcW w:w="4760" w:type="dxa"/>
            <w:tcMar>
              <w:top w:w="100" w:type="dxa"/>
              <w:left w:w="120" w:type="dxa"/>
              <w:bottom w:w="100" w:type="dxa"/>
              <w:right w:w="120" w:type="dxa"/>
            </w:tcMar>
            <w:vAlign w:val="center"/>
          </w:tcPr>
          <w:p w14:paraId="6D4CBBCA" w14:textId="77777777" w:rsidR="00BE1FD3" w:rsidRDefault="00A16CC4">
            <w:r>
              <w:t>Crosses the architecture's hard constraint: automation never acts autonomously on clinical or scheduling decisions — these are exactly the approval-gated actions the charter reserves for staff</w:t>
            </w:r>
          </w:p>
        </w:tc>
        <w:tc>
          <w:tcPr>
            <w:tcW w:w="2000" w:type="dxa"/>
            <w:tcMar>
              <w:top w:w="100" w:type="dxa"/>
              <w:left w:w="120" w:type="dxa"/>
              <w:bottom w:w="100" w:type="dxa"/>
              <w:right w:w="120" w:type="dxa"/>
            </w:tcMar>
            <w:vAlign w:val="center"/>
          </w:tcPr>
          <w:p w14:paraId="33CD162A" w14:textId="77777777" w:rsidR="00BE1FD3" w:rsidRDefault="00A16CC4">
            <w:r>
              <w:t>Not planned — automation may recommend/flag; a person must act</w:t>
            </w:r>
          </w:p>
        </w:tc>
      </w:tr>
      <w:tr w:rsidR="00BE1FD3" w14:paraId="0D5A873B" w14:textId="77777777">
        <w:tblPrEx>
          <w:tblCellMar>
            <w:top w:w="0" w:type="dxa"/>
            <w:bottom w:w="0" w:type="dxa"/>
          </w:tblCellMar>
        </w:tblPrEx>
        <w:tc>
          <w:tcPr>
            <w:tcW w:w="2600" w:type="dxa"/>
            <w:tcMar>
              <w:top w:w="100" w:type="dxa"/>
              <w:left w:w="120" w:type="dxa"/>
              <w:bottom w:w="100" w:type="dxa"/>
              <w:right w:w="120" w:type="dxa"/>
            </w:tcMar>
            <w:vAlign w:val="center"/>
          </w:tcPr>
          <w:p w14:paraId="480684E9" w14:textId="77777777" w:rsidR="00BE1FD3" w:rsidRDefault="00A16CC4">
            <w:r>
              <w:rPr>
                <w:b/>
                <w:bCs/>
              </w:rPr>
              <w:t>Batch nightly processing (“agent wakes up at 2 AM”)</w:t>
            </w:r>
          </w:p>
        </w:tc>
        <w:tc>
          <w:tcPr>
            <w:tcW w:w="4760" w:type="dxa"/>
            <w:tcMar>
              <w:top w:w="100" w:type="dxa"/>
              <w:left w:w="120" w:type="dxa"/>
              <w:bottom w:w="100" w:type="dxa"/>
              <w:right w:w="120" w:type="dxa"/>
            </w:tcMar>
            <w:vAlign w:val="center"/>
          </w:tcPr>
          <w:p w14:paraId="3D25AA19" w14:textId="77777777" w:rsidR="00BE1FD3" w:rsidRDefault="00A16CC4">
            <w:r>
              <w:t>Reasonable for large multi-provider systems; unnecessary complexity for a 15–25-visit solo practice</w:t>
            </w:r>
          </w:p>
        </w:tc>
        <w:tc>
          <w:tcPr>
            <w:tcW w:w="2000" w:type="dxa"/>
            <w:tcMar>
              <w:top w:w="100" w:type="dxa"/>
              <w:left w:w="120" w:type="dxa"/>
              <w:bottom w:w="100" w:type="dxa"/>
              <w:right w:w="120" w:type="dxa"/>
            </w:tcMar>
            <w:vAlign w:val="center"/>
          </w:tcPr>
          <w:p w14:paraId="68FB578C" w14:textId="77777777" w:rsidR="00BE1FD3" w:rsidRDefault="00A16CC4">
            <w:r>
              <w:t>Event-driven trigger (on booking, and on a fixed pre-visit schedule) covers the same outcome more simply</w:t>
            </w:r>
          </w:p>
        </w:tc>
      </w:tr>
      <w:tr w:rsidR="00BE1FD3" w14:paraId="2342AEB4" w14:textId="77777777">
        <w:tblPrEx>
          <w:tblCellMar>
            <w:top w:w="0" w:type="dxa"/>
            <w:bottom w:w="0" w:type="dxa"/>
          </w:tblCellMar>
        </w:tblPrEx>
        <w:tc>
          <w:tcPr>
            <w:tcW w:w="2600" w:type="dxa"/>
            <w:tcMar>
              <w:top w:w="100" w:type="dxa"/>
              <w:left w:w="120" w:type="dxa"/>
              <w:bottom w:w="100" w:type="dxa"/>
              <w:right w:w="120" w:type="dxa"/>
            </w:tcMar>
            <w:vAlign w:val="center"/>
          </w:tcPr>
          <w:p w14:paraId="65028F17" w14:textId="77777777" w:rsidR="00BE1FD3" w:rsidRDefault="00A16CC4">
            <w:r>
              <w:rPr>
                <w:b/>
                <w:bCs/>
              </w:rPr>
              <w:t>Finding hidden/secondary coverage</w:t>
            </w:r>
          </w:p>
        </w:tc>
        <w:tc>
          <w:tcPr>
            <w:tcW w:w="4760" w:type="dxa"/>
            <w:tcMar>
              <w:top w:w="100" w:type="dxa"/>
              <w:left w:w="120" w:type="dxa"/>
              <w:bottom w:w="100" w:type="dxa"/>
              <w:right w:w="120" w:type="dxa"/>
            </w:tcMar>
            <w:vAlign w:val="center"/>
          </w:tcPr>
          <w:p w14:paraId="2E384916" w14:textId="77777777" w:rsidR="00BE1FD3" w:rsidRDefault="00A16CC4">
            <w:r>
              <w:t>Requires additional third-party data sources beyond the clinic's own clearinghouse — real scope expansion, not a Tier 2/3 extension</w:t>
            </w:r>
          </w:p>
        </w:tc>
        <w:tc>
          <w:tcPr>
            <w:tcW w:w="2000" w:type="dxa"/>
            <w:tcMar>
              <w:top w:w="100" w:type="dxa"/>
              <w:left w:w="120" w:type="dxa"/>
              <w:bottom w:w="100" w:type="dxa"/>
              <w:right w:w="120" w:type="dxa"/>
            </w:tcMar>
            <w:vAlign w:val="center"/>
          </w:tcPr>
          <w:p w14:paraId="4058A1C4" w14:textId="77777777" w:rsidR="00BE1FD3" w:rsidRDefault="00A16CC4">
            <w:r>
              <w:t>Possible Phase 3 / revenue-optimization idea, not part of this requirements set</w:t>
            </w:r>
          </w:p>
        </w:tc>
      </w:tr>
      <w:tr w:rsidR="00BE1FD3" w14:paraId="0656E885" w14:textId="77777777">
        <w:tblPrEx>
          <w:tblCellMar>
            <w:top w:w="0" w:type="dxa"/>
            <w:bottom w:w="0" w:type="dxa"/>
          </w:tblCellMar>
        </w:tblPrEx>
        <w:tc>
          <w:tcPr>
            <w:tcW w:w="2600" w:type="dxa"/>
            <w:tcMar>
              <w:top w:w="100" w:type="dxa"/>
              <w:left w:w="120" w:type="dxa"/>
              <w:bottom w:w="100" w:type="dxa"/>
              <w:right w:w="120" w:type="dxa"/>
            </w:tcMar>
            <w:vAlign w:val="center"/>
          </w:tcPr>
          <w:p w14:paraId="5034E257" w14:textId="77777777" w:rsidR="00BE1FD3" w:rsidRDefault="00A16CC4">
            <w:r>
              <w:rPr>
                <w:b/>
                <w:bCs/>
              </w:rPr>
              <w:t>Full “Autonomous Visit Readiness” suite (demographics, consent, forms, provider network, appointment type, balance — all bundled)</w:t>
            </w:r>
          </w:p>
        </w:tc>
        <w:tc>
          <w:tcPr>
            <w:tcW w:w="4760" w:type="dxa"/>
            <w:tcMar>
              <w:top w:w="100" w:type="dxa"/>
              <w:left w:w="120" w:type="dxa"/>
              <w:bottom w:w="100" w:type="dxa"/>
              <w:right w:w="120" w:type="dxa"/>
            </w:tcMar>
            <w:vAlign w:val="center"/>
          </w:tcPr>
          <w:p w14:paraId="17DC113A" w14:textId="77777777" w:rsidR="00BE1FD3" w:rsidRDefault="00A16CC4">
            <w:r>
              <w:t>Meaningfully larger than the eligibility-specific scope this document covers; each item needs its own requirements pass</w:t>
            </w:r>
          </w:p>
        </w:tc>
        <w:tc>
          <w:tcPr>
            <w:tcW w:w="2000" w:type="dxa"/>
            <w:tcMar>
              <w:top w:w="100" w:type="dxa"/>
              <w:left w:w="120" w:type="dxa"/>
              <w:bottom w:w="100" w:type="dxa"/>
              <w:right w:w="120" w:type="dxa"/>
            </w:tcMar>
            <w:vAlign w:val="center"/>
          </w:tcPr>
          <w:p w14:paraId="708DADF1" w14:textId="77777777" w:rsidR="00BE1FD3" w:rsidRDefault="00A16CC4">
            <w:r>
              <w:t>Worth a separate discussion — see open questions below</w:t>
            </w:r>
          </w:p>
        </w:tc>
      </w:tr>
    </w:tbl>
    <w:p w14:paraId="4F22F46E" w14:textId="77777777" w:rsidR="00BE1FD3" w:rsidRDefault="00A16CC4">
      <w:pPr>
        <w:pStyle w:val="Heading1"/>
        <w:spacing w:before="360" w:after="160"/>
      </w:pPr>
      <w:r>
        <w:rPr>
          <w:b/>
          <w:bCs/>
          <w:color w:val="042B2B"/>
        </w:rPr>
        <w:t>7. Architectural Constraints (Non-Negotiable)</w:t>
      </w:r>
    </w:p>
    <w:p w14:paraId="0B08100F" w14:textId="77777777" w:rsidR="00BE1FD3" w:rsidRDefault="00A16CC4">
      <w:pPr>
        <w:pStyle w:val="ListParagraph"/>
        <w:numPr>
          <w:ilvl w:val="0"/>
          <w:numId w:val="1"/>
        </w:numPr>
        <w:spacing w:after="120"/>
      </w:pPr>
      <w:r>
        <w:rPr>
          <w:b/>
          <w:bCs/>
        </w:rPr>
        <w:t xml:space="preserve">Approval-gated, always: </w:t>
      </w:r>
      <w:r>
        <w:t>automation may flag, recommend, retry known-fixable errors, and route exceptions — it does not decide to reschedule, collect payment, request authorization, or take any other judgment-dependent action on its own.</w:t>
      </w:r>
    </w:p>
    <w:p w14:paraId="4F5CB8BC" w14:textId="77777777" w:rsidR="00BE1FD3" w:rsidRDefault="00A16CC4">
      <w:pPr>
        <w:pStyle w:val="ListParagraph"/>
        <w:numPr>
          <w:ilvl w:val="0"/>
          <w:numId w:val="1"/>
        </w:numPr>
        <w:spacing w:after="120"/>
      </w:pPr>
      <w:r>
        <w:rPr>
          <w:b/>
          <w:bCs/>
        </w:rPr>
        <w:t xml:space="preserve">Deterministic first: </w:t>
      </w:r>
      <w:r>
        <w:t>everything in Tier 2 must be explainable as a fixed rule, not a model's best guess — this is what keeps it non-AI and keeps the compliance surface at its current, minimal footprint.</w:t>
      </w:r>
    </w:p>
    <w:p w14:paraId="3327E15C" w14:textId="77777777" w:rsidR="00BE1FD3" w:rsidRDefault="00A16CC4">
      <w:pPr>
        <w:pStyle w:val="ListParagraph"/>
        <w:numPr>
          <w:ilvl w:val="0"/>
          <w:numId w:val="1"/>
        </w:numPr>
        <w:spacing w:after="120"/>
      </w:pPr>
      <w:r>
        <w:rPr>
          <w:b/>
          <w:bCs/>
        </w:rPr>
        <w:t xml:space="preserve">Existing clearinghouse, not a new one: </w:t>
      </w:r>
      <w:r>
        <w:t>orchestration runs through whatever clearinghouse connection the clinic's EMR already has (e.g., CGM eMEDIX) rather than standing up a separate payer interface — consistent with the open item already logged about confirming that clearinghouse's programmatic API access.</w:t>
      </w:r>
    </w:p>
    <w:p w14:paraId="1BFD50D4" w14:textId="77777777" w:rsidR="00BE1FD3" w:rsidRDefault="00A16CC4">
      <w:pPr>
        <w:pStyle w:val="ListParagraph"/>
        <w:numPr>
          <w:ilvl w:val="0"/>
          <w:numId w:val="1"/>
        </w:numPr>
        <w:spacing w:after="120"/>
      </w:pPr>
      <w:r>
        <w:rPr>
          <w:b/>
          <w:bCs/>
        </w:rPr>
        <w:t xml:space="preserve">No PHI-touching LLM outside the approved path: </w:t>
      </w:r>
      <w:r>
        <w:t>any Tier 3 language-generation requirement (benefit summaries, financial estimate drafts) must run through AWS Bedrock or Google Vertex AI, per the charter, never a direct API.</w:t>
      </w:r>
    </w:p>
    <w:p w14:paraId="601296A7" w14:textId="77777777" w:rsidR="00BE1FD3" w:rsidRDefault="00A16CC4">
      <w:pPr>
        <w:pStyle w:val="Heading1"/>
        <w:spacing w:before="360" w:after="160"/>
      </w:pPr>
      <w:r>
        <w:rPr>
          <w:b/>
          <w:bCs/>
          <w:color w:val="042B2B"/>
        </w:rPr>
        <w:t>8. Open Questions for Further Discussion</w:t>
      </w:r>
    </w:p>
    <w:p w14:paraId="442A6301" w14:textId="77777777" w:rsidR="00BE1FD3" w:rsidRDefault="00A16CC4">
      <w:pPr>
        <w:pStyle w:val="ListParagraph"/>
        <w:numPr>
          <w:ilvl w:val="0"/>
          <w:numId w:val="1"/>
        </w:numPr>
        <w:spacing w:after="120"/>
      </w:pPr>
      <w:r>
        <w:rPr>
          <w:b/>
          <w:bCs/>
        </w:rPr>
        <w:t xml:space="preserve">Q1 — Scope of automated decisions: </w:t>
      </w:r>
      <w:r>
        <w:t>which eligibility findings should the pilot resolve automatically beyond active/inactive (e.g., deductible remaining, referral/authorization flags) to produce measurable financial value for the clinic, and which must stay staff-reviewed even if technically automatable?</w:t>
      </w:r>
    </w:p>
    <w:p w14:paraId="2924EB24" w14:textId="77777777" w:rsidR="00BE1FD3" w:rsidRDefault="00A16CC4">
      <w:pPr>
        <w:pStyle w:val="ListParagraph"/>
        <w:numPr>
          <w:ilvl w:val="0"/>
          <w:numId w:val="1"/>
        </w:numPr>
        <w:spacing w:after="120"/>
      </w:pPr>
      <w:r>
        <w:rPr>
          <w:b/>
          <w:bCs/>
        </w:rPr>
        <w:t xml:space="preserve">Q2 — Clearinghouse dependency: </w:t>
      </w:r>
      <w:r>
        <w:t>should Tier 2 build strictly on the clinic's existing clearinghouse (CGM eMEDIX or equivalent), or independently purchase eligibility transactions from a dedicated API vendor (e.g., Stedi) regardless of what the clinic already has? This is the same open item flagged in the roadmap and directly affects the Tier 1 subprocessor BAA count.</w:t>
      </w:r>
    </w:p>
    <w:p w14:paraId="085D8C63" w14:textId="77777777" w:rsidR="00BE1FD3" w:rsidRDefault="00A16CC4">
      <w:pPr>
        <w:pStyle w:val="ListParagraph"/>
        <w:numPr>
          <w:ilvl w:val="0"/>
          <w:numId w:val="1"/>
        </w:numPr>
        <w:spacing w:after="120"/>
      </w:pPr>
      <w:r>
        <w:rPr>
          <w:b/>
          <w:bCs/>
        </w:rPr>
        <w:lastRenderedPageBreak/>
        <w:t xml:space="preserve">Q3 — Resolution rate for ROI: </w:t>
      </w:r>
      <w:r>
        <w:t>what percentage of eligibility cases need to resolve without human intervention before this is a defensible, measurable win for a ~400-visit/month solo practice — and what's the actual baseline (manually initiated checks, interpretation time, exception rate) at the pilot clinic today?</w:t>
      </w:r>
    </w:p>
    <w:p w14:paraId="07DF704F" w14:textId="77777777" w:rsidR="00BE1FD3" w:rsidRDefault="00A16CC4">
      <w:pPr>
        <w:pStyle w:val="ListParagraph"/>
        <w:numPr>
          <w:ilvl w:val="0"/>
          <w:numId w:val="1"/>
        </w:numPr>
        <w:spacing w:after="120"/>
      </w:pPr>
      <w:r>
        <w:rPr>
          <w:b/>
          <w:bCs/>
        </w:rPr>
        <w:t xml:space="preserve">Q4 — Naming and framing: </w:t>
      </w:r>
      <w:r>
        <w:t>does “Autonomous Visit Readiness” replace “Eligibility Verification” as the module name across the roadmap, charter, and pitch deck, or does eligibility stay its own named use case with visit-readiness as a future, broader umbrella once more components (referrals, forms, consent) are built?</w:t>
      </w:r>
    </w:p>
    <w:p w14:paraId="21E43EF9" w14:textId="77777777" w:rsidR="00BE1FD3" w:rsidRDefault="00A16CC4">
      <w:pPr>
        <w:pStyle w:val="ListParagraph"/>
        <w:numPr>
          <w:ilvl w:val="0"/>
          <w:numId w:val="1"/>
        </w:numPr>
        <w:spacing w:after="120"/>
      </w:pPr>
      <w:r>
        <w:rPr>
          <w:b/>
          <w:bCs/>
        </w:rPr>
        <w:t xml:space="preserve">Q5 — Self-service insurance update: </w:t>
      </w:r>
      <w:r>
        <w:t>the patient-facing “upload new insurance if your check fails” flow is genuinely useful but is patient-facing automated messaging conditioned on a failure state — does this fit within the charter's “collection only” Tier 3 discipline, or does it need its own review given it's prompted by a negative finding about the patient's coverage?</w:t>
      </w:r>
    </w:p>
    <w:p w14:paraId="4C5099BE" w14:textId="77777777" w:rsidR="00BE1FD3" w:rsidRDefault="00A16CC4">
      <w:pPr>
        <w:pStyle w:val="ListParagraph"/>
        <w:numPr>
          <w:ilvl w:val="0"/>
          <w:numId w:val="1"/>
        </w:numPr>
        <w:spacing w:after="120"/>
      </w:pPr>
      <w:r>
        <w:rPr>
          <w:b/>
          <w:bCs/>
        </w:rPr>
        <w:t xml:space="preserve">Q6 — Confidence scoring methodology: </w:t>
      </w:r>
      <w:r>
        <w:t>if eligibility responses get a trust/confidence flag, what makes a response “clean” versus “needs review” in a way that's auditable and explainable — is this achievable as a Tier 2 deterministic rule set, or does it require Tier 3 judgment, and does misclassifying a response as clean when it isn't create a liability the charter's clinical-risk discipline should address explicitly?</w:t>
      </w:r>
    </w:p>
    <w:p w14:paraId="4B26EC35" w14:textId="77777777" w:rsidR="00BE1FD3" w:rsidRDefault="00A16CC4">
      <w:pPr>
        <w:pStyle w:val="ListParagraph"/>
        <w:numPr>
          <w:ilvl w:val="0"/>
          <w:numId w:val="1"/>
        </w:numPr>
        <w:spacing w:after="120"/>
      </w:pPr>
      <w:r>
        <w:rPr>
          <w:b/>
          <w:bCs/>
        </w:rPr>
        <w:t xml:space="preserve">Q7 — Pilot data first: </w:t>
      </w:r>
      <w:r>
        <w:t>before committing further design time, should the next step be capturing actual pilot-clinic numbers (checks currently run manually per week, average resolution time, exception rate) to validate which Tier 2/3 items above are worth building, rather than continuing to scope from general industry research?</w:t>
      </w:r>
    </w:p>
    <w:p w14:paraId="2F409375" w14:textId="77777777" w:rsidR="00BE1FD3" w:rsidRDefault="00A16CC4">
      <w:pPr>
        <w:pStyle w:val="Heading1"/>
        <w:spacing w:before="360" w:after="160"/>
      </w:pPr>
      <w:r>
        <w:rPr>
          <w:b/>
          <w:bCs/>
          <w:color w:val="042B2B"/>
        </w:rPr>
        <w:t>9. Broader Platform Vision — Captured for a Future Session</w:t>
      </w:r>
    </w:p>
    <w:p w14:paraId="5B65C00D" w14:textId="77777777" w:rsidR="00BE1FD3" w:rsidRDefault="00A16CC4">
      <w:pPr>
        <w:spacing w:after="160"/>
      </w:pPr>
      <w:r>
        <w:t>A follow-up research pass reframes eligibility verification as the first of six modules in a broader “Autonomous Visit Preparation” platform. Captured here for reference only — no scope, tier, or architecture decisions are made in this section. Nothing here is committed.</w:t>
      </w:r>
    </w:p>
    <w:p w14:paraId="698596AD" w14:textId="77777777" w:rsidR="00BE1FD3" w:rsidRDefault="00A16CC4">
      <w:pPr>
        <w:pBdr>
          <w:left w:val="single" w:sz="24" w:space="8" w:color="DBAA47"/>
        </w:pBdr>
        <w:shd w:val="clear" w:color="auto" w:fill="F6F1DD"/>
        <w:spacing w:before="200" w:after="80"/>
        <w:ind w:left="100"/>
      </w:pPr>
      <w:r>
        <w:rPr>
          <w:b/>
          <w:bCs/>
          <w:color w:val="042B2B"/>
        </w:rPr>
        <w:t>Unified workflow, as proposed</w:t>
      </w:r>
    </w:p>
    <w:p w14:paraId="44F25086" w14:textId="77777777" w:rsidR="00BE1FD3" w:rsidRDefault="00A16CC4">
      <w:pPr>
        <w:pBdr>
          <w:left w:val="single" w:sz="24" w:space="8" w:color="DBAA47"/>
        </w:pBdr>
        <w:shd w:val="clear" w:color="auto" w:fill="F6F1DD"/>
        <w:spacing w:after="200"/>
        <w:ind w:left="100"/>
      </w:pPr>
      <w:r>
        <w:t>Appointment scheduled → identity &amp; insurance collection → eligibility verification → referral verification → prior authorization verification → financial readiness → clinical readiness → patient communication → exception resolution → visit-ready dashboard → EHR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860"/>
      </w:tblGrid>
      <w:tr w:rsidR="00BE1FD3" w14:paraId="69061EAF" w14:textId="77777777">
        <w:tblPrEx>
          <w:tblCellMar>
            <w:top w:w="0" w:type="dxa"/>
            <w:bottom w:w="0" w:type="dxa"/>
          </w:tblCellMar>
        </w:tblPrEx>
        <w:trPr>
          <w:tblHeader/>
        </w:trPr>
        <w:tc>
          <w:tcPr>
            <w:tcW w:w="1900" w:type="dxa"/>
            <w:shd w:val="clear" w:color="auto" w:fill="042B2B"/>
            <w:tcMar>
              <w:top w:w="100" w:type="dxa"/>
              <w:left w:w="120" w:type="dxa"/>
              <w:bottom w:w="100" w:type="dxa"/>
              <w:right w:w="120" w:type="dxa"/>
            </w:tcMar>
            <w:vAlign w:val="center"/>
          </w:tcPr>
          <w:p w14:paraId="1F08112E" w14:textId="77777777" w:rsidR="00BE1FD3" w:rsidRDefault="00A16CC4">
            <w:r>
              <w:rPr>
                <w:b/>
                <w:bCs/>
                <w:color w:val="FFFFFF"/>
              </w:rPr>
              <w:t>Proposed Module</w:t>
            </w:r>
          </w:p>
        </w:tc>
        <w:tc>
          <w:tcPr>
            <w:tcW w:w="3600" w:type="dxa"/>
            <w:shd w:val="clear" w:color="auto" w:fill="042B2B"/>
            <w:tcMar>
              <w:top w:w="100" w:type="dxa"/>
              <w:left w:w="120" w:type="dxa"/>
              <w:bottom w:w="100" w:type="dxa"/>
              <w:right w:w="120" w:type="dxa"/>
            </w:tcMar>
            <w:vAlign w:val="center"/>
          </w:tcPr>
          <w:p w14:paraId="1387C5CA" w14:textId="77777777" w:rsidR="00BE1FD3" w:rsidRDefault="00A16CC4">
            <w:r>
              <w:rPr>
                <w:b/>
                <w:bCs/>
                <w:color w:val="FFFFFF"/>
              </w:rPr>
              <w:t>What It Covers</w:t>
            </w:r>
          </w:p>
        </w:tc>
        <w:tc>
          <w:tcPr>
            <w:tcW w:w="3860" w:type="dxa"/>
            <w:shd w:val="clear" w:color="auto" w:fill="042B2B"/>
            <w:tcMar>
              <w:top w:w="100" w:type="dxa"/>
              <w:left w:w="120" w:type="dxa"/>
              <w:bottom w:w="100" w:type="dxa"/>
              <w:right w:w="120" w:type="dxa"/>
            </w:tcMar>
            <w:vAlign w:val="center"/>
          </w:tcPr>
          <w:p w14:paraId="5ABB9313" w14:textId="77777777" w:rsidR="00BE1FD3" w:rsidRDefault="00A16CC4">
            <w:r>
              <w:rPr>
                <w:b/>
                <w:bCs/>
                <w:color w:val="FFFFFF"/>
              </w:rPr>
              <w:t>Where It Likely Lands / Tension to Flag</w:t>
            </w:r>
          </w:p>
        </w:tc>
      </w:tr>
      <w:tr w:rsidR="00BE1FD3" w14:paraId="6EE24B2B" w14:textId="77777777">
        <w:tblPrEx>
          <w:tblCellMar>
            <w:top w:w="0" w:type="dxa"/>
            <w:bottom w:w="0" w:type="dxa"/>
          </w:tblCellMar>
        </w:tblPrEx>
        <w:tc>
          <w:tcPr>
            <w:tcW w:w="1900" w:type="dxa"/>
            <w:tcMar>
              <w:top w:w="100" w:type="dxa"/>
              <w:left w:w="120" w:type="dxa"/>
              <w:bottom w:w="100" w:type="dxa"/>
              <w:right w:w="120" w:type="dxa"/>
            </w:tcMar>
            <w:vAlign w:val="center"/>
          </w:tcPr>
          <w:p w14:paraId="2AD41729" w14:textId="77777777" w:rsidR="00BE1FD3" w:rsidRDefault="00A16CC4">
            <w:r>
              <w:rPr>
                <w:b/>
                <w:bCs/>
              </w:rPr>
              <w:t>1 — Autonomous Eligibility Verification</w:t>
            </w:r>
          </w:p>
        </w:tc>
        <w:tc>
          <w:tcPr>
            <w:tcW w:w="3600" w:type="dxa"/>
            <w:tcMar>
              <w:top w:w="100" w:type="dxa"/>
              <w:left w:w="120" w:type="dxa"/>
              <w:bottom w:w="100" w:type="dxa"/>
              <w:right w:w="120" w:type="dxa"/>
            </w:tcMar>
            <w:vAlign w:val="center"/>
          </w:tcPr>
          <w:p w14:paraId="258955D7" w14:textId="77777777" w:rsidR="00BE1FD3" w:rsidRDefault="00A16CC4">
            <w:r>
              <w:t>Insurance discovery, eligibility verification, benefit interpretation, exception handling, patient notifications, EHR documentation, “Visit Ready” status.</w:t>
            </w:r>
          </w:p>
        </w:tc>
        <w:tc>
          <w:tcPr>
            <w:tcW w:w="3860" w:type="dxa"/>
            <w:tcMar>
              <w:top w:w="100" w:type="dxa"/>
              <w:left w:w="120" w:type="dxa"/>
              <w:bottom w:w="100" w:type="dxa"/>
              <w:right w:w="120" w:type="dxa"/>
            </w:tcMar>
            <w:vAlign w:val="center"/>
          </w:tcPr>
          <w:p w14:paraId="20AED9B2" w14:textId="77777777" w:rsidR="00BE1FD3" w:rsidRDefault="00A16CC4">
            <w:r>
              <w:t>Already covered at eligibility-specific granularity in Sections 4–5 of this document; matches the existing Tier 2/3 split reasonably well.</w:t>
            </w:r>
          </w:p>
        </w:tc>
      </w:tr>
      <w:tr w:rsidR="00BE1FD3" w14:paraId="5D9D6371" w14:textId="77777777">
        <w:tblPrEx>
          <w:tblCellMar>
            <w:top w:w="0" w:type="dxa"/>
            <w:bottom w:w="0" w:type="dxa"/>
          </w:tblCellMar>
        </w:tblPrEx>
        <w:tc>
          <w:tcPr>
            <w:tcW w:w="1900" w:type="dxa"/>
            <w:tcMar>
              <w:top w:w="100" w:type="dxa"/>
              <w:left w:w="120" w:type="dxa"/>
              <w:bottom w:w="100" w:type="dxa"/>
              <w:right w:w="120" w:type="dxa"/>
            </w:tcMar>
            <w:vAlign w:val="center"/>
          </w:tcPr>
          <w:p w14:paraId="7A6A91BA" w14:textId="77777777" w:rsidR="00BE1FD3" w:rsidRDefault="00A16CC4">
            <w:r>
              <w:rPr>
                <w:b/>
                <w:bCs/>
              </w:rPr>
              <w:t>2 — Referral Readiness</w:t>
            </w:r>
          </w:p>
        </w:tc>
        <w:tc>
          <w:tcPr>
            <w:tcW w:w="3600" w:type="dxa"/>
            <w:tcMar>
              <w:top w:w="100" w:type="dxa"/>
              <w:left w:w="120" w:type="dxa"/>
              <w:bottom w:w="100" w:type="dxa"/>
              <w:right w:w="120" w:type="dxa"/>
            </w:tcMar>
            <w:vAlign w:val="center"/>
          </w:tcPr>
          <w:p w14:paraId="656575FE" w14:textId="77777777" w:rsidR="00BE1FD3" w:rsidRDefault="00A16CC4">
            <w:r>
              <w:t>Verify referral requirements, identify missing referrals, request and track referrals automatically.</w:t>
            </w:r>
          </w:p>
        </w:tc>
        <w:tc>
          <w:tcPr>
            <w:tcW w:w="3860" w:type="dxa"/>
            <w:tcMar>
              <w:top w:w="100" w:type="dxa"/>
              <w:left w:w="120" w:type="dxa"/>
              <w:bottom w:w="100" w:type="dxa"/>
              <w:right w:w="120" w:type="dxa"/>
            </w:tcMar>
            <w:vAlign w:val="center"/>
          </w:tcPr>
          <w:p w14:paraId="006C80FF" w14:textId="77777777" w:rsidR="00BE1FD3" w:rsidRDefault="00A16CC4">
            <w:r>
              <w:t>“Request... automatically” needs scrutiny against the approval-gated principle — flagging a missing referral is one thing; initiating a referral request to another provider on the clinic's behalf is a materially bigger action.</w:t>
            </w:r>
          </w:p>
        </w:tc>
      </w:tr>
      <w:tr w:rsidR="00BE1FD3" w14:paraId="07D6E4C1" w14:textId="77777777">
        <w:tblPrEx>
          <w:tblCellMar>
            <w:top w:w="0" w:type="dxa"/>
            <w:bottom w:w="0" w:type="dxa"/>
          </w:tblCellMar>
        </w:tblPrEx>
        <w:tc>
          <w:tcPr>
            <w:tcW w:w="1900" w:type="dxa"/>
            <w:tcMar>
              <w:top w:w="100" w:type="dxa"/>
              <w:left w:w="120" w:type="dxa"/>
              <w:bottom w:w="100" w:type="dxa"/>
              <w:right w:w="120" w:type="dxa"/>
            </w:tcMar>
            <w:vAlign w:val="center"/>
          </w:tcPr>
          <w:p w14:paraId="79FCD7B7" w14:textId="77777777" w:rsidR="00BE1FD3" w:rsidRDefault="00A16CC4">
            <w:r>
              <w:rPr>
                <w:b/>
                <w:bCs/>
              </w:rPr>
              <w:t>3 — Prior Authorization Readiness</w:t>
            </w:r>
          </w:p>
        </w:tc>
        <w:tc>
          <w:tcPr>
            <w:tcW w:w="3600" w:type="dxa"/>
            <w:tcMar>
              <w:top w:w="100" w:type="dxa"/>
              <w:left w:w="120" w:type="dxa"/>
              <w:bottom w:w="100" w:type="dxa"/>
              <w:right w:w="120" w:type="dxa"/>
            </w:tcMar>
            <w:vAlign w:val="center"/>
          </w:tcPr>
          <w:p w14:paraId="73EC81D6" w14:textId="77777777" w:rsidR="00BE1FD3" w:rsidRDefault="00A16CC4">
            <w:r>
              <w:t>Determine authorization requirements, initiate workflows, monitor status, notify staff.</w:t>
            </w:r>
          </w:p>
        </w:tc>
        <w:tc>
          <w:tcPr>
            <w:tcW w:w="3860" w:type="dxa"/>
            <w:tcMar>
              <w:top w:w="100" w:type="dxa"/>
              <w:left w:w="120" w:type="dxa"/>
              <w:bottom w:w="100" w:type="dxa"/>
              <w:right w:w="120" w:type="dxa"/>
            </w:tcMar>
            <w:vAlign w:val="center"/>
          </w:tcPr>
          <w:p w14:paraId="533DE068" w14:textId="77777777" w:rsidR="00BE1FD3" w:rsidRDefault="00A16CC4">
            <w:r>
              <w:t>The roadmap already treats PA submission as deferred, vendor-heavy, and bordering on clinical judgment; “initiate workflows” likely means starting a PA request — same concern applies.</w:t>
            </w:r>
          </w:p>
        </w:tc>
      </w:tr>
      <w:tr w:rsidR="00BE1FD3" w14:paraId="6CCA0690" w14:textId="77777777">
        <w:tblPrEx>
          <w:tblCellMar>
            <w:top w:w="0" w:type="dxa"/>
            <w:bottom w:w="0" w:type="dxa"/>
          </w:tblCellMar>
        </w:tblPrEx>
        <w:tc>
          <w:tcPr>
            <w:tcW w:w="1900" w:type="dxa"/>
            <w:tcMar>
              <w:top w:w="100" w:type="dxa"/>
              <w:left w:w="120" w:type="dxa"/>
              <w:bottom w:w="100" w:type="dxa"/>
              <w:right w:w="120" w:type="dxa"/>
            </w:tcMar>
            <w:vAlign w:val="center"/>
          </w:tcPr>
          <w:p w14:paraId="5A1273F6" w14:textId="77777777" w:rsidR="00BE1FD3" w:rsidRDefault="00A16CC4">
            <w:r>
              <w:rPr>
                <w:b/>
                <w:bCs/>
              </w:rPr>
              <w:lastRenderedPageBreak/>
              <w:t>4 — Patient Financial Readiness</w:t>
            </w:r>
          </w:p>
        </w:tc>
        <w:tc>
          <w:tcPr>
            <w:tcW w:w="3600" w:type="dxa"/>
            <w:tcMar>
              <w:top w:w="100" w:type="dxa"/>
              <w:left w:w="120" w:type="dxa"/>
              <w:bottom w:w="100" w:type="dxa"/>
              <w:right w:w="120" w:type="dxa"/>
            </w:tcMar>
            <w:vAlign w:val="center"/>
          </w:tcPr>
          <w:p w14:paraId="10F798E2" w14:textId="77777777" w:rsidR="00BE1FD3" w:rsidRDefault="00A16CC4">
            <w:r>
              <w:t>Generate patient responsibility estimates, identify outstanding balances, prepare collections.</w:t>
            </w:r>
          </w:p>
        </w:tc>
        <w:tc>
          <w:tcPr>
            <w:tcW w:w="3860" w:type="dxa"/>
            <w:tcMar>
              <w:top w:w="100" w:type="dxa"/>
              <w:left w:w="120" w:type="dxa"/>
              <w:bottom w:w="100" w:type="dxa"/>
              <w:right w:w="120" w:type="dxa"/>
            </w:tcMar>
            <w:vAlign w:val="center"/>
          </w:tcPr>
          <w:p w14:paraId="05B0DAE4" w14:textId="77777777" w:rsidR="00BE1FD3" w:rsidRDefault="00A16CC4">
            <w:r>
              <w:t>Estimate drafting is already a Tier 3 candidate in this document; “prepare collections” is ambiguous — drafting a collections notice for staff review is fine, actually initiating collections activity is a different, bigger action.</w:t>
            </w:r>
          </w:p>
        </w:tc>
      </w:tr>
      <w:tr w:rsidR="00BE1FD3" w14:paraId="60EDA268" w14:textId="77777777">
        <w:tblPrEx>
          <w:tblCellMar>
            <w:top w:w="0" w:type="dxa"/>
            <w:bottom w:w="0" w:type="dxa"/>
          </w:tblCellMar>
        </w:tblPrEx>
        <w:tc>
          <w:tcPr>
            <w:tcW w:w="1900" w:type="dxa"/>
            <w:tcMar>
              <w:top w:w="100" w:type="dxa"/>
              <w:left w:w="120" w:type="dxa"/>
              <w:bottom w:w="100" w:type="dxa"/>
              <w:right w:w="120" w:type="dxa"/>
            </w:tcMar>
            <w:vAlign w:val="center"/>
          </w:tcPr>
          <w:p w14:paraId="1D6AA2D3" w14:textId="77777777" w:rsidR="00BE1FD3" w:rsidRDefault="00A16CC4">
            <w:r>
              <w:rPr>
                <w:b/>
                <w:bCs/>
              </w:rPr>
              <w:t>5 — Clinical Readiness</w:t>
            </w:r>
          </w:p>
        </w:tc>
        <w:tc>
          <w:tcPr>
            <w:tcW w:w="3600" w:type="dxa"/>
            <w:tcMar>
              <w:top w:w="100" w:type="dxa"/>
              <w:left w:w="120" w:type="dxa"/>
              <w:bottom w:w="100" w:type="dxa"/>
              <w:right w:w="120" w:type="dxa"/>
            </w:tcMar>
            <w:vAlign w:val="center"/>
          </w:tcPr>
          <w:p w14:paraId="1EF52A55" w14:textId="77777777" w:rsidR="00BE1FD3" w:rsidRDefault="00A16CC4">
            <w:r>
              <w:t>Confirm required forms, questionnaires, demographics, consent, documentation.</w:t>
            </w:r>
          </w:p>
        </w:tc>
        <w:tc>
          <w:tcPr>
            <w:tcW w:w="3860" w:type="dxa"/>
            <w:tcMar>
              <w:top w:w="100" w:type="dxa"/>
              <w:left w:w="120" w:type="dxa"/>
              <w:bottom w:w="100" w:type="dxa"/>
              <w:right w:w="120" w:type="dxa"/>
            </w:tcMar>
            <w:vAlign w:val="center"/>
          </w:tcPr>
          <w:p w14:paraId="3E65C2C4" w14:textId="77777777" w:rsidR="00BE1FD3" w:rsidRDefault="00A16CC4">
            <w:r>
              <w:t>New surface area, not discussed anywhere else in Track B's materials. Likely lower compliance risk than Modules 2–4 since it's checklist/verification rather than a request or financial action — but untested against the charter.</w:t>
            </w:r>
          </w:p>
        </w:tc>
      </w:tr>
      <w:tr w:rsidR="00BE1FD3" w14:paraId="14D223C4" w14:textId="77777777">
        <w:tblPrEx>
          <w:tblCellMar>
            <w:top w:w="0" w:type="dxa"/>
            <w:bottom w:w="0" w:type="dxa"/>
          </w:tblCellMar>
        </w:tblPrEx>
        <w:tc>
          <w:tcPr>
            <w:tcW w:w="1900" w:type="dxa"/>
            <w:tcMar>
              <w:top w:w="100" w:type="dxa"/>
              <w:left w:w="120" w:type="dxa"/>
              <w:bottom w:w="100" w:type="dxa"/>
              <w:right w:w="120" w:type="dxa"/>
            </w:tcMar>
            <w:vAlign w:val="center"/>
          </w:tcPr>
          <w:p w14:paraId="177C5B62" w14:textId="77777777" w:rsidR="00BE1FD3" w:rsidRDefault="00A16CC4">
            <w:r>
              <w:rPr>
                <w:b/>
                <w:bCs/>
              </w:rPr>
              <w:t>6 — Appointment Readiness Orchestrator</w:t>
            </w:r>
          </w:p>
        </w:tc>
        <w:tc>
          <w:tcPr>
            <w:tcW w:w="3600" w:type="dxa"/>
            <w:tcMar>
              <w:top w:w="100" w:type="dxa"/>
              <w:left w:w="120" w:type="dxa"/>
              <w:bottom w:w="100" w:type="dxa"/>
              <w:right w:w="120" w:type="dxa"/>
            </w:tcMar>
            <w:vAlign w:val="center"/>
          </w:tcPr>
          <w:p w14:paraId="18CA6BC9" w14:textId="77777777" w:rsidR="00BE1FD3" w:rsidRDefault="00A16CC4">
            <w:r>
              <w:t>Combines outputs from all modules into a single Visit Readiness Score and exception queue.</w:t>
            </w:r>
          </w:p>
        </w:tc>
        <w:tc>
          <w:tcPr>
            <w:tcW w:w="3860" w:type="dxa"/>
            <w:tcMar>
              <w:top w:w="100" w:type="dxa"/>
              <w:left w:w="120" w:type="dxa"/>
              <w:bottom w:w="100" w:type="dxa"/>
              <w:right w:w="120" w:type="dxa"/>
            </w:tcMar>
            <w:vAlign w:val="center"/>
          </w:tcPr>
          <w:p w14:paraId="2895C5CD" w14:textId="77777777" w:rsidR="00BE1FD3" w:rsidRDefault="00A16CC4">
            <w:r>
              <w:t>A “score” is itself a judgment output — raises the same auditability question as the eligibility confidence-scoring item in Section 5, compounded across six modules instead of one.</w:t>
            </w:r>
          </w:p>
        </w:tc>
      </w:tr>
    </w:tbl>
    <w:p w14:paraId="5CB2C4F5" w14:textId="77777777" w:rsidR="00BE1FD3" w:rsidRDefault="00A16CC4">
      <w:pPr>
        <w:spacing w:after="160"/>
      </w:pPr>
      <w:r>
        <w:t>Consistent with Section 3's positioning: this research's core claim — that current EHRs and clearinghouses automate transactions while the operational workflow around them stays manual — lands on the same point independently. Worth noting as corroboration across two separate research passes, not as new evidence on its own.</w:t>
      </w:r>
    </w:p>
    <w:p w14:paraId="513AD208" w14:textId="77777777" w:rsidR="00BE1FD3" w:rsidRDefault="00A16CC4">
      <w:pPr>
        <w:pStyle w:val="Heading1"/>
        <w:spacing w:before="360" w:after="160"/>
      </w:pPr>
      <w:r>
        <w:rPr>
          <w:b/>
          <w:bCs/>
          <w:color w:val="042B2B"/>
        </w:rPr>
        <w:t>10. Additional Open Questions — Platform Vision</w:t>
      </w:r>
    </w:p>
    <w:p w14:paraId="58984D61" w14:textId="77777777" w:rsidR="00BE1FD3" w:rsidRDefault="00A16CC4">
      <w:pPr>
        <w:pStyle w:val="ListParagraph"/>
        <w:numPr>
          <w:ilvl w:val="0"/>
          <w:numId w:val="1"/>
        </w:numPr>
        <w:spacing w:after="120"/>
      </w:pPr>
      <w:r>
        <w:rPr>
          <w:b/>
          <w:bCs/>
        </w:rPr>
        <w:t xml:space="preserve">Q8 — Platform commitment: </w:t>
      </w:r>
      <w:r>
        <w:t>does Track B commit to eventually building all six modules, or does eligibility (Module 1) stand alone as HaloFlow's differentiated pilot niche, with Modules 2–6 realistically future-phase territory not to be promised to the pilot clinic now?</w:t>
      </w:r>
    </w:p>
    <w:p w14:paraId="65DD5F39" w14:textId="77777777" w:rsidR="00BE1FD3" w:rsidRDefault="00A16CC4">
      <w:pPr>
        <w:pStyle w:val="ListParagraph"/>
        <w:numPr>
          <w:ilvl w:val="0"/>
          <w:numId w:val="1"/>
        </w:numPr>
        <w:spacing w:after="120"/>
      </w:pPr>
      <w:r>
        <w:rPr>
          <w:b/>
          <w:bCs/>
        </w:rPr>
        <w:t xml:space="preserve">Q9 — “Automatic” referral/PA initiation: </w:t>
      </w:r>
      <w:r>
        <w:t>for Modules 2 and 3, does “initiate/request automatically” mean draft-and-flag for staff (compatible with the approval-gated principle already governing Tiers 2–3), or actually submit on the clinic's behalf (a real action requiring its own compliance and liability review before it could be considered)?</w:t>
      </w:r>
    </w:p>
    <w:p w14:paraId="789AF781" w14:textId="77777777" w:rsidR="00BE1FD3" w:rsidRDefault="00A16CC4">
      <w:pPr>
        <w:pStyle w:val="ListParagraph"/>
        <w:numPr>
          <w:ilvl w:val="0"/>
          <w:numId w:val="1"/>
        </w:numPr>
        <w:spacing w:after="120"/>
      </w:pPr>
      <w:r>
        <w:rPr>
          <w:b/>
          <w:bCs/>
        </w:rPr>
        <w:t xml:space="preserve">Q10 — Visit Readiness Score accountability: </w:t>
      </w:r>
      <w:r>
        <w:t>if a single score becomes the receptionist's primary interface across six modules, what's the process when the score is wrong — and does a compounded, multi-module score make that auditability question harder to answer than the single-module version in Q6?</w:t>
      </w:r>
    </w:p>
    <w:p w14:paraId="6C15FBFC" w14:textId="77777777" w:rsidR="00BE1FD3" w:rsidRDefault="00A16CC4">
      <w:pPr>
        <w:pStyle w:val="ListParagraph"/>
        <w:numPr>
          <w:ilvl w:val="0"/>
          <w:numId w:val="1"/>
        </w:numPr>
        <w:spacing w:after="120"/>
      </w:pPr>
      <w:r>
        <w:rPr>
          <w:b/>
          <w:bCs/>
        </w:rPr>
        <w:t xml:space="preserve">Q11 — Sequencing after eligibility: </w:t>
      </w:r>
      <w:r>
        <w:t>if this platform vision is adopted directionally, is eligibility (Module 1) still the right place to have started, or does Module 5 (Clinical Readiness — forms, consent, demographics) represent a lower-compliance-risk module worth comparing against for what comes next?</w:t>
      </w:r>
    </w:p>
    <w:p w14:paraId="2270D096" w14:textId="77777777" w:rsidR="00BE1FD3" w:rsidRDefault="00A16CC4">
      <w:pPr>
        <w:spacing w:before="300"/>
      </w:pPr>
      <w:r>
        <w:rPr>
          <w:i/>
          <w:iCs/>
          <w:color w:val="5F5E5A"/>
        </w:rPr>
        <w:t>Prepared for internal discussion — Halo Holdings Track B planning.</w:t>
      </w:r>
    </w:p>
    <w:sectPr w:rsidR="00BE1F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83CC9"/>
    <w:multiLevelType w:val="hybridMultilevel"/>
    <w:tmpl w:val="5692AEBE"/>
    <w:lvl w:ilvl="0" w:tplc="336E9220">
      <w:start w:val="1"/>
      <w:numFmt w:val="bullet"/>
      <w:lvlText w:val="●"/>
      <w:lvlJc w:val="left"/>
      <w:pPr>
        <w:ind w:left="720" w:hanging="360"/>
      </w:pPr>
    </w:lvl>
    <w:lvl w:ilvl="1" w:tplc="72021088">
      <w:start w:val="1"/>
      <w:numFmt w:val="bullet"/>
      <w:lvlText w:val="○"/>
      <w:lvlJc w:val="left"/>
      <w:pPr>
        <w:ind w:left="1440" w:hanging="360"/>
      </w:pPr>
    </w:lvl>
    <w:lvl w:ilvl="2" w:tplc="7728A644">
      <w:start w:val="1"/>
      <w:numFmt w:val="bullet"/>
      <w:lvlText w:val="■"/>
      <w:lvlJc w:val="left"/>
      <w:pPr>
        <w:ind w:left="2160" w:hanging="360"/>
      </w:pPr>
    </w:lvl>
    <w:lvl w:ilvl="3" w:tplc="087027B4">
      <w:start w:val="1"/>
      <w:numFmt w:val="bullet"/>
      <w:lvlText w:val="●"/>
      <w:lvlJc w:val="left"/>
      <w:pPr>
        <w:ind w:left="2880" w:hanging="360"/>
      </w:pPr>
    </w:lvl>
    <w:lvl w:ilvl="4" w:tplc="A7062E8C">
      <w:start w:val="1"/>
      <w:numFmt w:val="bullet"/>
      <w:lvlText w:val="○"/>
      <w:lvlJc w:val="left"/>
      <w:pPr>
        <w:ind w:left="3600" w:hanging="360"/>
      </w:pPr>
    </w:lvl>
    <w:lvl w:ilvl="5" w:tplc="25767C62">
      <w:start w:val="1"/>
      <w:numFmt w:val="bullet"/>
      <w:lvlText w:val="■"/>
      <w:lvlJc w:val="left"/>
      <w:pPr>
        <w:ind w:left="4320" w:hanging="360"/>
      </w:pPr>
    </w:lvl>
    <w:lvl w:ilvl="6" w:tplc="379A70E2">
      <w:start w:val="1"/>
      <w:numFmt w:val="bullet"/>
      <w:lvlText w:val="●"/>
      <w:lvlJc w:val="left"/>
      <w:pPr>
        <w:ind w:left="5040" w:hanging="360"/>
      </w:pPr>
    </w:lvl>
    <w:lvl w:ilvl="7" w:tplc="1294041E">
      <w:start w:val="1"/>
      <w:numFmt w:val="bullet"/>
      <w:lvlText w:val="●"/>
      <w:lvlJc w:val="left"/>
      <w:pPr>
        <w:ind w:left="5760" w:hanging="360"/>
      </w:pPr>
    </w:lvl>
    <w:lvl w:ilvl="8" w:tplc="535EAEB4">
      <w:start w:val="1"/>
      <w:numFmt w:val="bullet"/>
      <w:lvlText w:val="●"/>
      <w:lvlJc w:val="left"/>
      <w:pPr>
        <w:ind w:left="6480" w:hanging="360"/>
      </w:pPr>
    </w:lvl>
  </w:abstractNum>
  <w:num w:numId="1" w16cid:durableId="476730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D3"/>
    <w:rsid w:val="00A16CC4"/>
    <w:rsid w:val="00B10799"/>
    <w:rsid w:val="00BE1FD3"/>
    <w:rsid w:val="00CF2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26D64"/>
  <w15:docId w15:val="{3EEF4DA7-DDB6-45DD-878D-16DE2556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2588</Words>
  <Characters>14754</Characters>
  <Application>Microsoft Office Word</Application>
  <DocSecurity>0</DocSecurity>
  <Lines>122</Lines>
  <Paragraphs>34</Paragraphs>
  <ScaleCrop>false</ScaleCrop>
  <Company/>
  <LinksUpToDate>false</LinksUpToDate>
  <CharactersWithSpaces>17308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RACHEL GUO</cp:lastModifiedBy>
  <cp:revision>2</cp:revision>
  <dcterms:created xsi:type="dcterms:W3CDTF">2026-07-31T14:44:00Z</dcterms:created>
  <dcterms:modified xsi:type="dcterms:W3CDTF">2026-07-31T14:44:00Z</dcterms:modified>
</cp:coreProperties>
</file>