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Calibri"/>
          <w:b/>
          <w:color w:val="2E74B5"/>
          <w:sz w:val="20"/>
        </w:rPr>
        <w:t>M01  •  TECHNICAL DESIGN DOCUMENT</w:t>
      </w:r>
    </w:p>
    <w:p>
      <w:pPr>
        <w:pStyle w:val="Title"/>
      </w:pPr>
      <w:r>
        <w:t>Tenant Context and Data Access</w:t>
      </w:r>
    </w:p>
    <w:p>
      <w:pPr>
        <w:pStyle w:val="Subtitle"/>
      </w:pPr>
      <w:r>
        <w:t>Implementation design for the mandatory tenant-aware data-access boundary</w:t>
      </w:r>
    </w:p>
    <w:p>
      <w:pPr>
        <w:spacing w:after="40"/>
      </w:pPr>
      <w:r>
        <w:rPr>
          <w:rFonts w:ascii="Calibri" w:hAnsi="Calibri" w:eastAsia="Calibri"/>
          <w:b/>
          <w:color w:val="16324F"/>
          <w:sz w:val="21"/>
        </w:rPr>
        <w:t xml:space="preserve">Product: </w:t>
      </w:r>
      <w:r>
        <w:rPr>
          <w:rFonts w:ascii="Calibri" w:hAnsi="Calibri" w:eastAsia="Calibri"/>
          <w:color w:val="243746"/>
          <w:sz w:val="21"/>
        </w:rPr>
        <w:t>HaloFlow Medical Solution</w:t>
      </w:r>
    </w:p>
    <w:p>
      <w:pPr>
        <w:spacing w:after="40"/>
      </w:pPr>
      <w:r>
        <w:rPr>
          <w:rFonts w:ascii="Calibri" w:hAnsi="Calibri" w:eastAsia="Calibri"/>
          <w:b/>
          <w:color w:val="16324F"/>
          <w:sz w:val="21"/>
        </w:rPr>
        <w:t xml:space="preserve">Status: </w:t>
      </w:r>
      <w:r>
        <w:rPr>
          <w:rFonts w:ascii="Calibri" w:hAnsi="Calibri" w:eastAsia="Calibri"/>
          <w:color w:val="243746"/>
          <w:sz w:val="21"/>
        </w:rPr>
        <w:t>Draft for architecture, security, privacy, and platform review</w:t>
      </w:r>
    </w:p>
    <w:p>
      <w:pPr>
        <w:spacing w:after="40"/>
      </w:pPr>
      <w:r>
        <w:rPr>
          <w:rFonts w:ascii="Calibri" w:hAnsi="Calibri" w:eastAsia="Calibri"/>
          <w:b/>
          <w:color w:val="16324F"/>
          <w:sz w:val="21"/>
        </w:rPr>
        <w:t xml:space="preserve">Version / date: </w:t>
      </w:r>
      <w:r>
        <w:rPr>
          <w:rFonts w:ascii="Calibri" w:hAnsi="Calibri" w:eastAsia="Calibri"/>
          <w:color w:val="243746"/>
          <w:sz w:val="21"/>
        </w:rPr>
        <w:t>0.2  •  26 August 2026</w:t>
      </w:r>
    </w:p>
    <w:p>
      <w:pPr>
        <w:spacing w:after="40"/>
      </w:pPr>
      <w:r>
        <w:rPr>
          <w:rFonts w:ascii="Calibri" w:hAnsi="Calibri" w:eastAsia="Calibri"/>
          <w:b/>
          <w:color w:val="16324F"/>
          <w:sz w:val="21"/>
        </w:rPr>
        <w:t xml:space="preserve">Requirements basis: </w:t>
      </w:r>
      <w:r>
        <w:rPr>
          <w:rFonts w:ascii="Calibri" w:hAnsi="Calibri" w:eastAsia="Calibri"/>
          <w:color w:val="243746"/>
          <w:sz w:val="21"/>
        </w:rPr>
        <w:t>M01 Detailed Requirements — Tenant Context and Data Access, Approved 1.0</w:t>
      </w:r>
    </w:p>
    <w:p>
      <w:pPr>
        <w:spacing w:after="40"/>
      </w:pPr>
      <w:r>
        <w:rPr>
          <w:rFonts w:ascii="Calibri" w:hAnsi="Calibri" w:eastAsia="Calibri"/>
          <w:b/>
          <w:color w:val="16324F"/>
          <w:sz w:val="21"/>
        </w:rPr>
        <w:t xml:space="preserve">Accepted architecture: </w:t>
      </w:r>
      <w:r>
        <w:rPr>
          <w:rFonts w:ascii="Calibri" w:hAnsi="Calibri" w:eastAsia="Calibri"/>
          <w:color w:val="243746"/>
          <w:sz w:val="21"/>
        </w:rPr>
        <w:t>ADR-001 — schema-per-tenant with application-enforced isolation</w:t>
      </w:r>
    </w:p>
    <w:p>
      <w:pPr>
        <w:spacing w:after="40"/>
      </w:pPr>
      <w:r>
        <w:rPr>
          <w:rFonts w:ascii="Calibri" w:hAnsi="Calibri" w:eastAsia="Calibri"/>
          <w:b/>
          <w:color w:val="16324F"/>
          <w:sz w:val="21"/>
        </w:rPr>
        <w:t xml:space="preserve">Design owner: </w:t>
      </w:r>
      <w:r>
        <w:rPr>
          <w:rFonts w:ascii="Calibri" w:hAnsi="Calibri" w:eastAsia="Calibri"/>
          <w:color w:val="243746"/>
          <w:sz w:val="21"/>
        </w:rPr>
        <w:t>Platform Engineering (assignment to be confirmed)</w:t>
      </w:r>
    </w:p>
    <w:p>
      <w:pPr>
        <w:spacing w:before="100" w:after="180" w:line="259" w:lineRule="auto"/>
        <w:ind w:left="173" w:right="173"/>
        <w:shd w:fill="FCE8E6"/>
        <w:pBdr>
          <w:left w:val="single" w:sz="18" w:space="8" w:color="9B1C1C"/>
        </w:pBdr>
        <w:keepLines/>
      </w:pPr>
      <w:r>
        <w:rPr>
          <w:rFonts w:ascii="Calibri" w:hAnsi="Calibri" w:eastAsia="Calibri"/>
          <w:b/>
          <w:color w:val="9B1C1C"/>
        </w:rPr>
        <w:t xml:space="preserve">Production gate. </w:t>
      </w:r>
      <w:r>
        <w:rPr>
          <w:rFonts w:ascii="Calibri" w:hAnsi="Calibri" w:eastAsia="Calibri"/>
          <w:color w:val="243746"/>
        </w:rPr>
        <w:t>This design implements ADR-001 compensating controls, but schema-per-tenant routing is not itself a PostgreSQL authorization boundary. Production PHI handling remains blocked until implementation evidence and security/privacy sign-off are recorded.</w:t>
      </w:r>
    </w:p>
    <w:p>
      <w:pPr>
        <w:spacing w:after="40" w:before="160"/>
      </w:pPr>
      <w:r>
        <w:rPr>
          <w:rFonts w:ascii="Calibri" w:hAnsi="Calibri" w:eastAsia="Calibri"/>
          <w:b/>
          <w:color w:val="2E74B5"/>
        </w:rPr>
        <w:t>Document purpose</w:t>
      </w:r>
      <w:r>
        <w:rPr>
          <w:rFonts w:ascii="Calibri" w:hAnsi="Calibri" w:eastAsia="Calibri"/>
          <w:i w:val="0"/>
          <w:color w:val="2E74B5"/>
        </w:rPr>
      </w:r>
    </w:p>
    <w:p>
      <w:pPr>
        <w:spacing w:after="160"/>
      </w:pPr>
      <w:r>
        <w:rPr>
          <w:rFonts w:ascii="Calibri" w:hAnsi="Calibri" w:eastAsia="Calibri"/>
          <w:i w:val="0"/>
          <w:color w:val="243746"/>
        </w:rPr>
        <w:t>Translate the approved M01 requirements into implementable components, data contracts, database controls, failure behavior, observability, rollout steps, and verification evidence. This document does not supersede M01; if the two conflict, the approved requirement controls.</w:t>
      </w:r>
    </w:p>
    <w:p>
      <w:r>
        <w:br w:type="page"/>
      </w:r>
    </w:p>
    <w:p>
      <w:pPr>
        <w:pStyle w:val="Heading1"/>
        <w:keepNext/>
      </w:pPr>
      <w:r>
        <w:t>Executive summary</w:t>
      </w:r>
    </w:p>
    <w:p>
      <w:r>
        <w:rPr>
          <w:rFonts w:ascii="Calibri" w:hAnsi="Calibri" w:eastAsia="Calibri"/>
          <w:i w:val="0"/>
          <w:color w:val="243746"/>
        </w:rPr>
        <w:t>HaloFlow will expose one approved runtime path to tenant operational data: resolve an authorized tenant from the shared registry, construct an immutable TenantContext, and execute work through TenantTransactionGateway. The gateway begins a transaction, revalidates the registry mapping and lifecycle, sets a transaction-local search path using the registry-derived schema identifier, verifies routing, invokes the repository callback, and commits or rolls back. Every return path restores a known connection baseline or discards the connection.</w:t>
      </w:r>
    </w:p>
    <w:p>
      <w:r>
        <w:rPr>
          <w:rFonts w:ascii="Calibri" w:hAnsi="Calibri" w:eastAsia="Calibri"/>
          <w:i w:val="0"/>
          <w:color w:val="243746"/>
        </w:rPr>
        <w:t>The design deliberately centralizes the dangerous operations—pool access, schema identifier handling, lifecycle enforcement, and cleanup—inside an M01-owned library. Runtime services and workers receive transaction-scoped repository handles, not raw connections or schema names. Provisioning, migration, support read-only, and break-glass workflows use separate identities, database roles, entry points, and evidence trails.</w:t>
      </w:r>
    </w:p>
    <w:p>
      <w:pPr>
        <w:spacing w:before="100" w:after="180" w:line="259" w:lineRule="auto"/>
        <w:ind w:left="173" w:right="173"/>
        <w:shd w:fill="E7F3EA"/>
        <w:pBdr>
          <w:left w:val="single" w:sz="18" w:space="8" w:color="1F5A35"/>
        </w:pBdr>
        <w:keepLines/>
      </w:pPr>
      <w:r>
        <w:rPr>
          <w:rFonts w:ascii="Calibri" w:hAnsi="Calibri" w:eastAsia="Calibri"/>
          <w:b/>
          <w:color w:val="1F5A35"/>
        </w:rPr>
        <w:t xml:space="preserve">Recommended implementation baseline. </w:t>
      </w:r>
      <w:r>
        <w:rPr>
          <w:rFonts w:ascii="Calibri" w:hAnsi="Calibri" w:eastAsia="Calibri"/>
          <w:color w:val="243746"/>
        </w:rPr>
        <w:t>Start without an authorization-path tenant-registry cache. Measure registry and transaction-setup overhead separately. Introduce caching only after an invalidation and lifecycle-revocation design is approved and negative isolation tests cover stale entries.</w:t>
      </w:r>
    </w:p>
    <w:p>
      <w:pPr>
        <w:pStyle w:val="Heading1"/>
        <w:keepNext/>
      </w:pPr>
      <w:r>
        <w:t>1. Goals, non-goals, and constraints</w:t>
      </w:r>
    </w:p>
    <w:p>
      <w:pPr>
        <w:pStyle w:val="Heading2"/>
        <w:keepNext/>
      </w:pPr>
      <w:r>
        <w:t>1.1 Goals</w:t>
      </w:r>
    </w:p>
    <w:p>
      <w:pPr>
        <w:pStyle w:val="ListBullet"/>
        <w:keepLines/>
      </w:pPr>
      <w:r>
        <w:t>Make cross-tenant observation or mutation structurally difficult and release-blocking when detected.</w:t>
      </w:r>
    </w:p>
    <w:p>
      <w:pPr>
        <w:pStyle w:val="ListBullet"/>
        <w:keepLines/>
      </w:pPr>
      <w:r>
        <w:t>Make tenant identity, authorization basis, purpose, and operation correlation explicit for every unit of work.</w:t>
      </w:r>
    </w:p>
    <w:p>
      <w:pPr>
        <w:pStyle w:val="ListBullet"/>
        <w:keepLines/>
      </w:pPr>
      <w:r>
        <w:t>Constrain schema routing to a short, reviewable sequence implemented once and reused by M02–M12.</w:t>
      </w:r>
    </w:p>
    <w:p>
      <w:pPr>
        <w:pStyle w:val="ListBullet"/>
        <w:keepLines/>
      </w:pPr>
      <w:r>
        <w:t>Preserve atomicity for tenant business changes and required tenant-local evidence records.</w:t>
      </w:r>
    </w:p>
    <w:p>
      <w:pPr>
        <w:pStyle w:val="ListBullet"/>
        <w:keepLines/>
      </w:pPr>
      <w:r>
        <w:t>Provide safe operational paths for lifecycle changes, migrations, support access, and incident response.</w:t>
      </w:r>
    </w:p>
    <w:p>
      <w:pPr>
        <w:pStyle w:val="ListBullet"/>
        <w:keepLines/>
      </w:pPr>
      <w:r>
        <w:t>Produce PHI-safe evidence that proves routing, grants, pool hygiene, and isolation behavior.</w:t>
      </w:r>
    </w:p>
    <w:p>
      <w:pPr>
        <w:pStyle w:val="Heading2"/>
        <w:keepNext/>
      </w:pPr>
      <w:r>
        <w:t>1.2 Non-goals</w:t>
      </w:r>
    </w:p>
    <w:p>
      <w:pPr>
        <w:pStyle w:val="ListBullet"/>
        <w:keepLines/>
      </w:pPr>
      <w:r>
        <w:t>Selecting the enterprise identity provider or defining end-user authentication UX.</w:t>
      </w:r>
    </w:p>
    <w:p>
      <w:pPr>
        <w:pStyle w:val="ListBullet"/>
        <w:keepLines/>
      </w:pPr>
      <w:r>
        <w:t>Defining business tables and workflows owned by M02–M12.</w:t>
      </w:r>
    </w:p>
    <w:p>
      <w:pPr>
        <w:pStyle w:val="ListBullet"/>
        <w:keepLines/>
      </w:pPr>
      <w:r>
        <w:t>Designing cross-tenant analytics, warehouse access, model training, or benchmarking.</w:t>
      </w:r>
    </w:p>
    <w:p>
      <w:pPr>
        <w:pStyle w:val="ListBullet"/>
        <w:keepLines/>
      </w:pPr>
      <w:r>
        <w:t>Replacing schema-per-tenant with per-tenant databases or database roles in this baseline.</w:t>
      </w:r>
    </w:p>
    <w:p>
      <w:pPr>
        <w:pStyle w:val="ListBullet"/>
        <w:keepLines/>
      </w:pPr>
      <w:r>
        <w:t>Defining detailed object-storage isolation controls owned by M08.</w:t>
      </w:r>
    </w:p>
    <w:p>
      <w:pPr>
        <w:pStyle w:val="Heading2"/>
        <w:keepNext/>
      </w:pPr>
      <w:r>
        <w:t>1.3 Hard constraints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Constraint</w:t>
            </w:r>
          </w:p>
        </w:tc>
        <w:tc>
          <w:tcPr>
            <w:tcW w:type="dxa" w:w="6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Design consequence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Fail closed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Missing, expired, malformed, unauthorized, inactive, or inconsistent context never reaches tenant SQL.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One tenant per unit of work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Changing tenant context inside an open transaction is prohibited; cross-tenant loops open a fresh context and transaction per tenant.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Registry-derived schema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Transport values are hints only. schema_key comes from shared.tenants, passes an allowlist, and is quoted as an identifier.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Transaction-local routing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Only SET LOCAL or equivalent local configuration is permitted; no session-scoped routing state.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PHI-safe telemetry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Centralized logs, metrics, traces, alerts, and free-text errors exclude clinical payloads and raw SQL values.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Architecture decisions and status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900"/>
        <w:gridCol w:w="3360"/>
        <w:gridCol w:w="1600"/>
        <w:gridCol w:w="350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ID</w:t>
            </w:r>
          </w:p>
        </w:tc>
        <w:tc>
          <w:tcPr>
            <w:tcW w:type="dxa" w:w="3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Decision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Status</w:t>
            </w:r>
          </w:p>
        </w:tc>
        <w:tc>
          <w:tcPr>
            <w:tcW w:type="dxa" w:w="3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Rationale / consequence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D-01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Schema-per-tenant with application-enforced routing and compensating controls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Accepted (ADR-001)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Baseline required by M01; production requires security/privacy evidence.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D-02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One M01-owned tenant transaction gateway for all runtime tenant SQL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Design decision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Concentrates schema handling, lifecycle checks, cleanup, and instrumentation.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D-03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Explicit qualified control-store access plus context-bound tenant access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Design decision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Shared control queries are distinguishable from tenant SQL; neither exposes a raw pool.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D-04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Revalidate mapping and lifecycle inside the tenant transaction before SET LOCAL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Design decision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Reduces stale-context and time-of-check/time-of-use risk.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D-05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No registry cache on the v1 authorization path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Recommended baseline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Prioritizes immediate lifecycle enforcement; revisit after measurements.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D-06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Reset-or-discard on every pool return path; discard whenever state is uncertain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Design decision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Prevents reuse of contaminated physical connections.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D-07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Distinct pools/credentials for runtime, migration, provisioning, support read-only, and break-glass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Design decision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Enforces purpose separation and makes grant evidence inspectable.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D-08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psycopg3 with psycopg_pool; application-side pooling only; no external pooler in v1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Approved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Cloud SQL Auth Proxy provides transport and automatic IAM authentication; pool behavior remains owned and testable by M01.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D-09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Runtime audit outbox projected into the global access audit log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Approved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Preserves transaction-local atomic evidence while denying runtime direct INSERT on shared.access_audit_log.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System context and components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06440" cy="3422744"/>
            <wp:docPr id="1" name="Picture 1" title="Figure 1. Runtime architecture. Shared-control access is explicit; tenant SQL is possible only inside a context-bound transaction." descr="Figure 1. Runtime architecture. Shared-control access is explicit; tenant SQL is possible only inside a context-bound trans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_runtim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Runtime architecture. Shared-control access is explicit; tenant SQL is possible only inside a context-bound transaction.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300"/>
        <w:gridCol w:w="3960"/>
        <w:gridCol w:w="310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Component</w:t>
            </w:r>
          </w:p>
        </w:tc>
        <w:tc>
          <w:tcPr>
            <w:tcW w:type="dxa" w:w="3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Responsibility</w:t>
            </w:r>
          </w:p>
        </w:tc>
        <w:tc>
          <w:tcPr>
            <w:tcW w:type="dxa" w:w="3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Must not do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TenantResolver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Authorize subject/workload, normalize purpose, resolve shared.tenants, and issue an immutable context.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Trust schema_key from a header, route, job payload, or customer text.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TenantContextValidator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Validate shape, expiry, actor/workload, capability, route/job/resource binding, and support grant.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Acquire a connection or repair an invalid context.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M01ControlStore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Run allowlisted, explicitly schema-qualified control queries with parameterized values.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Read tenant operational tables or accept arbitrary SQL.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TenantTransactionGateway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Own checkout, BEGIN, revalidation, SET LOCAL, routing verification, callback, commit/rollback, and cleanup.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Return raw connections or allow context changes mid-transaction.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TenantRepositoryHandle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Expose module repositories bound to the active transaction and context.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Open connections, qualify another tenant schema, or outlive the callback.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PoolAdapter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Provide the driver-specific baseline check and reset/discard contract.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Treat reset failure as recoverable reuse.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AuditProjector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Copy committed tenant-local access-audit outbox records into shared.access_audit_log with idempotent reconciliation.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Accept arbitrary runtime SQL or permit runtime direct INSERT into the global audit table.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Provisioning/Migration service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Create schemas, apply versioned migrations, validate grants/isolation, and record evidence.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Use the runtime role or activate a partial tenant.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SupportAccessGateway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Validate grant, enforce minimum necessary, select support role, and append audit events.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Impersonate a tenant without a grant record.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Tenant context contract</w:t>
      </w:r>
    </w:p>
    <w:p>
      <w:r>
        <w:rPr>
          <w:rFonts w:ascii="Calibri" w:hAnsi="Calibri" w:eastAsia="Calibri"/>
          <w:i w:val="0"/>
          <w:color w:val="243746"/>
        </w:rPr>
        <w:t>TenantContext is an immutable, short-lived, internal security object. It may be serialized only across a trusted service boundary using integrity protection; callers cannot construct or mutate it directly.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900"/>
        <w:gridCol w:w="2200"/>
        <w:gridCol w:w="52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Field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Type / requirement</w:t>
            </w:r>
          </w:p>
        </w:tc>
        <w:tc>
          <w:tcPr>
            <w:tcW w:type="dxa" w:w="5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Source and validation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tenant_id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opaque ID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Authorized organization/resource binding; matched to shared.tenants.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schema_key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internal identifier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Only shared.tenants; allowlist ^tenant_[a-z0-9]{8,32}$; immutable for unit of work.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principal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actor_id XOR workload_id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Authenticated identity or verified workload identity.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auth_method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controlled code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Authentication boundary; support/break-glass policy may require stronger method.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capabilities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non-empty set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Authorization policy result; checked again by repositories for sensitive actions.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purpose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controlled code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Normalized purpose; support also requires ticket/case.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request_id / operation_id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at least one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Request edge or durable work record; propagated to audit and telemetry.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source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service + deployment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Trusted runtime metadata, not a client claim.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issued_at / expires_at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UTC timestamps • required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Short lifetime; expiry checked before checkout and before callback.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support_access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conditional object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Grant ID, approved scope, ticket, expiry, break-glass flag, and approval basis.</w:t>
            </w:r>
          </w:p>
        </w:tc>
      </w:tr>
    </w:tbl>
    <w:p>
      <w:pPr>
        <w:spacing w:after="40"/>
      </w:pPr>
    </w:p>
    <w:p>
      <w:pPr>
        <w:pStyle w:val="CodeBlock"/>
        <w:keepLines/>
        <w:shd w:fill="F4F6F9"/>
        <w:pBdr>
          <w:top w:val="single" w:sz="4" w:space="4" w:color="C9D1D9"/>
          <w:left w:val="single" w:sz="4" w:space="4" w:color="C9D1D9"/>
          <w:bottom w:val="single" w:sz="4" w:space="4" w:color="C9D1D9"/>
          <w:right w:val="single" w:sz="4" w:space="4" w:color="C9D1D9"/>
        </w:pBdr>
      </w:pPr>
      <w:r>
        <w:rPr>
          <w:rFonts w:ascii="Consolas" w:hAnsi="Consolas" w:eastAsia="Consolas"/>
          <w:color w:val="1F4D78"/>
          <w:sz w:val="17"/>
        </w:rPr>
        <w:t>type TenantContext = Readonly&lt;{</w:t>
        <w:br/>
        <w:t xml:space="preserve">  tenantId: TenantId; schemaKey: InternalSchemaKey;</w:t>
        <w:br/>
        <w:t xml:space="preserve">  principal: { kind: 'actor' | 'workload'; id: string; authMethod: AuthMethod };</w:t>
        <w:br/>
        <w:t xml:space="preserve">  capabilities: ReadonlySet&lt;Capability&gt;; purpose: PurposeCode;</w:t>
        <w:br/>
        <w:t xml:space="preserve">  requestId?: string; operationId?: string; source: TrustedSource;</w:t>
        <w:br/>
        <w:t xml:space="preserve">  issuedAt: Instant; expiresAt: Instant;</w:t>
        <w:br/>
        <w:t xml:space="preserve">  support?: { grantId: string; ticketId: string; expiresAt: Instant; breakGlass: boolean };</w:t>
        <w:br/>
        <w:t>}&gt;;</w:t>
      </w:r>
    </w:p>
    <w:p>
      <w:pPr>
        <w:spacing w:before="100" w:after="180" w:line="259" w:lineRule="auto"/>
        <w:ind w:left="173" w:right="173"/>
        <w:shd w:fill="FFF3CD"/>
        <w:pBdr>
          <w:left w:val="single" w:sz="18" w:space="8" w:color="7A5A00"/>
        </w:pBdr>
        <w:keepLines/>
      </w:pPr>
      <w:r>
        <w:rPr>
          <w:rFonts w:ascii="Calibri" w:hAnsi="Calibri" w:eastAsia="Calibri"/>
          <w:b/>
          <w:color w:val="7A5A00"/>
        </w:rPr>
        <w:t xml:space="preserve">Invariant. </w:t>
      </w:r>
      <w:r>
        <w:rPr>
          <w:rFonts w:ascii="Calibri" w:hAnsi="Calibri" w:eastAsia="Calibri"/>
          <w:color w:val="243746"/>
        </w:rPr>
        <w:t>The only way to obtain TenantContext is TenantResolver. A schema key received from transport is never copied into the object, even if it matches the registry.</w:t>
      </w:r>
    </w:p>
    <w:p>
      <w:pPr>
        <w:pStyle w:val="Heading1"/>
        <w:keepNext/>
      </w:pPr>
      <w:r>
        <w:t>5. Authorization and tenant lifecycle</w:t>
      </w:r>
    </w:p>
    <w:p>
      <w:r>
        <w:rPr>
          <w:rFonts w:ascii="Calibri" w:hAnsi="Calibri" w:eastAsia="Calibri"/>
          <w:i w:val="0"/>
          <w:color w:val="243746"/>
        </w:rPr>
        <w:t>Authorization precedes schema routing. The resolver evaluates authenticated organization membership or workload policy, requested capability, purpose, resource binding, and tenant lifecycle. Database reachability never substitutes for authorization.</w:t>
      </w:r>
    </w:p>
    <w:p>
      <w:pPr>
        <w:pStyle w:val="Heading2"/>
        <w:keepNext/>
      </w:pPr>
      <w:r>
        <w:t>5.1 Resolution algorithm</w:t>
      </w:r>
    </w:p>
    <w:p>
      <w:pPr>
        <w:numPr>
          <w:ilvl w:val="0"/>
          <w:numId w:val="10"/>
        </w:numPr>
        <w:pStyle w:val="ListNumber"/>
        <w:keepLines/>
      </w:pPr>
      <w:r>
        <w:t>Authenticate the actor or workload and derive trusted principal attributes.</w:t>
      </w:r>
    </w:p>
    <w:p>
      <w:pPr>
        <w:numPr>
          <w:ilvl w:val="0"/>
          <w:numId w:val="10"/>
        </w:numPr>
        <w:pStyle w:val="ListNumber"/>
        <w:keepLines/>
      </w:pPr>
      <w:r>
        <w:t>Normalize the requested purpose and capability; reject unknown combinations.</w:t>
      </w:r>
    </w:p>
    <w:p>
      <w:pPr>
        <w:numPr>
          <w:ilvl w:val="0"/>
          <w:numId w:val="10"/>
        </w:numPr>
        <w:pStyle w:val="ListNumber"/>
        <w:keepLines/>
      </w:pPr>
      <w:r>
        <w:t>Treat route, header, job, or resource tenant values as hints; compare them with the authorized tenant binding.</w:t>
      </w:r>
    </w:p>
    <w:p>
      <w:pPr>
        <w:numPr>
          <w:ilvl w:val="0"/>
          <w:numId w:val="10"/>
        </w:numPr>
        <w:pStyle w:val="ListNumber"/>
        <w:keepLines/>
      </w:pPr>
      <w:r>
        <w:t>Read the registry through M01ControlStore using tenant_id, never a caller-provided schema identifier.</w:t>
      </w:r>
    </w:p>
    <w:p>
      <w:pPr>
        <w:numPr>
          <w:ilvl w:val="0"/>
          <w:numId w:val="10"/>
        </w:numPr>
        <w:pStyle w:val="ListNumber"/>
        <w:keepLines/>
      </w:pPr>
      <w:r>
        <w:t>Validate registry uniqueness, schema-key allowlist, lifecycle, and schema version compatibility.</w:t>
      </w:r>
    </w:p>
    <w:p>
      <w:pPr>
        <w:numPr>
          <w:ilvl w:val="0"/>
          <w:numId w:val="10"/>
        </w:numPr>
        <w:pStyle w:val="ListNumber"/>
        <w:keepLines/>
      </w:pPr>
      <w:r>
        <w:t>For support, validate named workforce identity, grant scope, ticket, approval basis, expiry, and requested capability.</w:t>
      </w:r>
    </w:p>
    <w:p>
      <w:pPr>
        <w:numPr>
          <w:ilvl w:val="0"/>
          <w:numId w:val="10"/>
        </w:numPr>
        <w:pStyle w:val="ListNumber"/>
        <w:keepLines/>
      </w:pPr>
      <w:r>
        <w:t>Issue an immutable context or a non-enumerable denial; emit a sanitized reason code and correlation.</w:t>
      </w:r>
    </w:p>
    <w:p>
      <w:pPr>
        <w:pStyle w:val="Heading2"/>
        <w:keepNext/>
      </w:pPr>
      <w:r>
        <w:t>5.2 Recommended lifecycle authorization matrix</w:t>
      </w:r>
    </w:p>
    <w:p>
      <w:pPr>
        <w:spacing w:before="100" w:after="180" w:line="259" w:lineRule="auto"/>
        <w:ind w:left="173" w:right="173"/>
        <w:shd w:fill="FFF3CD"/>
        <w:pBdr>
          <w:left w:val="single" w:sz="18" w:space="8" w:color="7A5A00"/>
        </w:pBdr>
        <w:keepLines/>
      </w:pPr>
      <w:r>
        <w:rPr>
          <w:rFonts w:ascii="Calibri" w:hAnsi="Calibri" w:eastAsia="Calibri"/>
          <w:b/>
          <w:color w:val="7A5A00"/>
        </w:rPr>
        <w:t xml:space="preserve">Pending approval. </w:t>
      </w:r>
      <w:r>
        <w:rPr>
          <w:rFonts w:ascii="Calibri" w:hAnsi="Calibri" w:eastAsia="Calibri"/>
          <w:color w:val="243746"/>
        </w:rPr>
        <w:t>This matrix is the implementation recommendation for M01-OI-003. Product, Operations, Compliance, and Security must approve exact read, migration, support, and reactivation semantics before the provisioning pilot.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500"/>
        <w:gridCol w:w="1400"/>
        <w:gridCol w:w="1400"/>
        <w:gridCol w:w="1600"/>
        <w:gridCol w:w="1800"/>
        <w:gridCol w:w="16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State</w:t>
            </w:r>
          </w:p>
        </w:tc>
        <w:tc>
          <w:tcPr>
            <w:tcW w:type="dxa" w:w="1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Runtime read</w:t>
            </w:r>
          </w:p>
        </w:tc>
        <w:tc>
          <w:tcPr>
            <w:tcW w:type="dxa" w:w="1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Runtime write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Scheduled work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Support / recovery</w:t>
            </w:r>
          </w:p>
        </w:tc>
        <w:tc>
          <w:tcPr>
            <w:tcW w:type="dxa" w:w="1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Migration / transition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provisioning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Provisioner only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Baseline migration; activate after gates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active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Allow by capability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Allow by capability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Allow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Time-bounded grant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Canary/controlled migration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suspended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 by default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Approved recovery; read-only default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Reactivate with approval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archival_pending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Archive/export only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Approved recovery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Cancel or complete archive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archived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Exceptional recovery read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Reviewed reactivation only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decommissioned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Deny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Tombstone only; no resolution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Tenant transaction gateway</w:t>
      </w:r>
    </w:p>
    <w:p>
      <w:pPr>
        <w:spacing w:before="8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06440" cy="3850587"/>
            <wp:docPr id="2" name="Picture 2" title="Figure 2. Transaction sequence. The registry is consulted during resolution and revalidated inside the database transaction before routing." descr="Figure 2. Transaction sequence. The registry is consulted during resolution and revalidated inside the database transaction before rou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_transaction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50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Transaction sequence. The registry is consulted during resolution and revalidated inside the database transaction before routing.</w:t>
      </w:r>
    </w:p>
    <w:p>
      <w:pPr>
        <w:pStyle w:val="Heading2"/>
        <w:keepNext/>
      </w:pPr>
      <w:r>
        <w:t>6.1 Public interface</w:t>
      </w:r>
    </w:p>
    <w:p>
      <w:pPr>
        <w:pStyle w:val="CodeBlock"/>
        <w:keepLines/>
        <w:shd w:fill="F4F6F9"/>
        <w:pBdr>
          <w:top w:val="single" w:sz="4" w:space="4" w:color="C9D1D9"/>
          <w:left w:val="single" w:sz="4" w:space="4" w:color="C9D1D9"/>
          <w:bottom w:val="single" w:sz="4" w:space="4" w:color="C9D1D9"/>
          <w:right w:val="single" w:sz="4" w:space="4" w:color="C9D1D9"/>
        </w:pBdr>
      </w:pPr>
      <w:r>
        <w:rPr>
          <w:rFonts w:ascii="Consolas" w:hAnsi="Consolas" w:eastAsia="Consolas"/>
          <w:color w:val="1F4D78"/>
          <w:sz w:val="17"/>
        </w:rPr>
        <w:t>resolveTenant(principal, tenantHint, purpose, capability): Promise&lt;TenantContext&gt;</w:t>
        <w:br/>
        <w:br/>
        <w:t>withTenantTransaction&lt;T&gt;(</w:t>
        <w:br/>
        <w:t xml:space="preserve">  context: TenantContext,</w:t>
        <w:br/>
        <w:t xml:space="preserve">  options: { readOnly?: boolean; timeoutMs?: number; idempotencyKey?: string },</w:t>
        <w:br/>
        <w:t xml:space="preserve">  callback: (tx: TenantRepositoryHandle) =&gt; Promise&lt;T&gt;</w:t>
        <w:br/>
        <w:t>): Promise&lt;T&gt;</w:t>
        <w:br/>
        <w:br/>
        <w:t>assertTenantContext(context, expectedTenantId): void</w:t>
      </w:r>
    </w:p>
    <w:p>
      <w:r>
        <w:rPr>
          <w:rFonts w:ascii="Calibri" w:hAnsi="Calibri" w:eastAsia="Calibri"/>
          <w:i w:val="0"/>
          <w:color w:val="243746"/>
        </w:rPr>
        <w:t>The callback receives a scoped repository handle. Its underlying connection is inaccessible, and the handle becomes invalid when the callback returns. Nested calls to withTenantTransaction are prohibited. Modules that participate in a larger atomic operation must reuse the TenantRepositoryHandle supplied by their caller; a nested gateway invocation fails before acquiring another connection.</w:t>
      </w:r>
    </w:p>
    <w:p>
      <w:r>
        <w:rPr>
          <w:rFonts w:ascii="Calibri" w:hAnsi="Calibri" w:eastAsia="Calibri"/>
          <w:i w:val="0"/>
          <w:color w:val="243746"/>
        </w:rPr>
        <w:t>The readOnly option means PostgreSQL transaction-level read-only. It is allowed only when the operation has no required database audit/outbox write. A PHI-touching logical read that must create an access-audit record uses a write-capable transaction with a repository handle that exposes no business mutation methods; this permits the audit source event without granting the caller write capability.</w:t>
      </w:r>
    </w:p>
    <w:p>
      <w:pPr>
        <w:pStyle w:val="Heading2"/>
        <w:keepNext/>
      </w:pPr>
      <w:r>
        <w:t>6.2 Gateway algorithm and invariants</w:t>
      </w:r>
    </w:p>
    <w:p>
      <w:pPr>
        <w:numPr>
          <w:ilvl w:val="0"/>
          <w:numId w:val="11"/>
        </w:numPr>
        <w:pStyle w:val="ListNumber"/>
        <w:keepLines/>
      </w:pPr>
      <w:r>
        <w:t>Validate context shape, expiry, capability, source, and operation correlation before checkout.</w:t>
      </w:r>
    </w:p>
    <w:p>
      <w:pPr>
        <w:numPr>
          <w:ilvl w:val="0"/>
          <w:numId w:val="11"/>
        </w:numPr>
        <w:pStyle w:val="ListNumber"/>
        <w:keepLines/>
      </w:pPr>
      <w:r>
        <w:t>Checkout from the role-appropriate pool and verify the driver-specific baseline; reset or discard if the baseline is not proven.</w:t>
      </w:r>
    </w:p>
    <w:p>
      <w:pPr>
        <w:numPr>
          <w:ilvl w:val="0"/>
          <w:numId w:val="11"/>
        </w:numPr>
        <w:pStyle w:val="ListNumber"/>
        <w:keepLines/>
      </w:pPr>
      <w:r>
        <w:t>BEGIN with the required read-only/read-write mode and isolation level. SET LOCAL statement_timeout, lock_timeout, and transaction_timeout; the transaction timeout must not exceed the remaining TenantContext lifetime.</w:t>
      </w:r>
    </w:p>
    <w:p>
      <w:pPr>
        <w:numPr>
          <w:ilvl w:val="0"/>
          <w:numId w:val="11"/>
        </w:numPr>
        <w:pStyle w:val="ListNumber"/>
        <w:keepLines/>
      </w:pPr>
      <w:r>
        <w:t>Query shared.tenants with an explicitly qualified name; compare tenant_id, schema_key, lifecycle, and compatible schema version with the context.</w:t>
      </w:r>
    </w:p>
    <w:p>
      <w:pPr>
        <w:numPr>
          <w:ilvl w:val="0"/>
          <w:numId w:val="11"/>
        </w:numPr>
        <w:pStyle w:val="ListNumber"/>
        <w:keepLines/>
      </w:pPr>
      <w:r>
        <w:t>Quote the validated schema_key using the driver's identifier API or an approved internal quoting helper; never bind it as a value or concatenate raw input.</w:t>
      </w:r>
    </w:p>
    <w:p>
      <w:pPr>
        <w:numPr>
          <w:ilvl w:val="0"/>
          <w:numId w:val="11"/>
        </w:numPr>
        <w:pStyle w:val="ListNumber"/>
        <w:keepLines/>
      </w:pPr>
      <w:r>
        <w:t>Set transaction-local application_name to a bounded, PHI-free operation correlation and set app.tenant_id for correlation and defect detection only; neither setting is an authorization control.</w:t>
      </w:r>
    </w:p>
    <w:p>
      <w:pPr>
        <w:numPr>
          <w:ilvl w:val="0"/>
          <w:numId w:val="11"/>
        </w:numPr>
        <w:pStyle w:val="ListNumber"/>
        <w:keepLines/>
      </w:pPr>
      <w:r>
        <w:t>Execute transaction-local search-path configuration containing pg_catalog first, the selected tenant schema second, and pg_temp last. Exclude shared and public; all shared references remain explicitly qualified.</w:t>
      </w:r>
    </w:p>
    <w:p>
      <w:pPr>
        <w:numPr>
          <w:ilvl w:val="0"/>
          <w:numId w:val="11"/>
        </w:numPr>
        <w:pStyle w:val="ListNumber"/>
        <w:keepLines/>
      </w:pPr>
      <w:r>
        <w:t>Verify pg_my_temp_schema() = 0 and current_schemas(true) equals [pg_catalog, selected tenant] exactly; fail closed and discard the connection if effective membership or order differs.</w:t>
      </w:r>
    </w:p>
    <w:p>
      <w:pPr>
        <w:numPr>
          <w:ilvl w:val="0"/>
          <w:numId w:val="11"/>
        </w:numPr>
        <w:pStyle w:val="ListNumber"/>
        <w:keepLines/>
      </w:pPr>
      <w:r>
        <w:t>Invoke the callback with the scoped repository handle. Tenant tables are unqualified; approved shared tables are always explicitly qualified.</w:t>
      </w:r>
    </w:p>
    <w:p>
      <w:pPr>
        <w:numPr>
          <w:ilvl w:val="0"/>
          <w:numId w:val="11"/>
        </w:numPr>
        <w:pStyle w:val="ListNumber"/>
        <w:keepLines/>
      </w:pPr>
      <w:r>
        <w:t>Write required tenant-local audit/event/queue evidence, including the access-audit outbox record, in the same transaction unless a reviewed module design documents a different consistency model.</w:t>
      </w:r>
    </w:p>
    <w:p>
      <w:pPr>
        <w:numPr>
          <w:ilvl w:val="0"/>
          <w:numId w:val="11"/>
        </w:numPr>
        <w:pStyle w:val="ListNumber"/>
        <w:keepLines/>
      </w:pPr>
      <w:r>
        <w:t>COMMIT. On exception, timeout, cancellation, connection loss, or uncertain commit, follow the error-specific path; never assume success.</w:t>
      </w:r>
    </w:p>
    <w:p>
      <w:pPr>
        <w:numPr>
          <w:ilvl w:val="0"/>
          <w:numId w:val="11"/>
        </w:numPr>
        <w:pStyle w:val="ListNumber"/>
        <w:keepLines/>
      </w:pPr>
      <w:r>
        <w:t>In finally, rollback any open transaction, execute the approved reset, verify baseline, and return the connection—or discard it when any step is uncertain.</w:t>
      </w:r>
    </w:p>
    <w:p>
      <w:pPr>
        <w:spacing w:before="100" w:after="180" w:line="259" w:lineRule="auto"/>
        <w:ind w:left="173" w:right="173"/>
        <w:shd w:fill="FCE8E6"/>
        <w:pBdr>
          <w:left w:val="single" w:sz="18" w:space="8" w:color="9B1C1C"/>
        </w:pBdr>
        <w:keepLines/>
      </w:pPr>
      <w:r>
        <w:rPr>
          <w:rFonts w:ascii="Calibri" w:hAnsi="Calibri" w:eastAsia="Calibri"/>
          <w:b/>
          <w:color w:val="9B1C1C"/>
        </w:rPr>
        <w:t xml:space="preserve">No fallback. </w:t>
      </w:r>
      <w:r>
        <w:rPr>
          <w:rFonts w:ascii="Calibri" w:hAnsi="Calibri" w:eastAsia="Calibri"/>
          <w:color w:val="243746"/>
        </w:rPr>
        <w:t>A missing schema, registry mismatch, SET LOCAL failure, or routing verification failure never triggers public, shared, a default tenant, or another tenant as a fallback.</w:t>
      </w:r>
    </w:p>
    <w:p>
      <w:pPr>
        <w:pStyle w:val="Heading2"/>
        <w:keepNext/>
      </w:pPr>
      <w:r>
        <w:t>6.3 Safe search-path construction</w:t>
      </w:r>
    </w:p>
    <w:p>
      <w:r>
        <w:rPr>
          <w:rFonts w:ascii="Calibri" w:hAnsi="Calibri" w:eastAsia="Calibri"/>
          <w:i w:val="0"/>
          <w:color w:val="243746"/>
        </w:rPr>
        <w:t>PostgreSQL value parameters cannot safely represent identifiers. The implementation shall separate value binding from identifier quoting and accept only InternalSchemaKey values previously produced by the registry validator.</w:t>
      </w:r>
    </w:p>
    <w:p>
      <w:pPr>
        <w:pStyle w:val="CodeBlock"/>
        <w:keepLines/>
        <w:shd w:fill="F4F6F9"/>
        <w:pBdr>
          <w:top w:val="single" w:sz="4" w:space="4" w:color="C9D1D9"/>
          <w:left w:val="single" w:sz="4" w:space="4" w:color="C9D1D9"/>
          <w:bottom w:val="single" w:sz="4" w:space="4" w:color="C9D1D9"/>
          <w:right w:val="single" w:sz="4" w:space="4" w:color="C9D1D9"/>
        </w:pBdr>
      </w:pPr>
      <w:r>
        <w:rPr>
          <w:rFonts w:ascii="Consolas" w:hAnsi="Consolas" w:eastAsia="Consolas"/>
          <w:color w:val="1F4D78"/>
          <w:sz w:val="17"/>
        </w:rPr>
        <w:t>validated = assert_internal_schema_key(registry_row.schema_key)</w:t>
        <w:br/>
        <w:t>path_sql = sql.SQL(</w:t>
        <w:br/>
        <w:t xml:space="preserve">    'SET LOCAL search_path TO pg_catalog, {}, pg_temp'</w:t>
        <w:br/>
        <w:t>).format(sql.Identifier(validated))</w:t>
        <w:br/>
        <w:t>await connection.execute(path_sql)</w:t>
        <w:br/>
        <w:t>assert await scalar('select pg_my_temp_schema()') == 0</w:t>
        <w:br/>
        <w:t>assert await scalar('select current_schemas(true)') == ['pg_catalog', validated]</w:t>
      </w:r>
    </w:p>
    <w:p>
      <w:r>
        <w:rPr>
          <w:rFonts w:ascii="Calibri" w:hAnsi="Calibri" w:eastAsia="Calibri"/>
          <w:i w:val="0"/>
          <w:color w:val="243746"/>
        </w:rPr>
        <w:t>The implementation uses psycopg.sql.Identifier and psycopg.sql.SQL; no internal identifier-quoter contingency is required. A validate-and-return server function may be evaluated only after setup-overhead measurements and is not part of the v1 trust boundary.</w:t>
      </w:r>
    </w:p>
    <w:p>
      <w:pPr>
        <w:pStyle w:val="Heading2"/>
        <w:keepNext/>
      </w:pPr>
      <w:r>
        <w:t>6.4 Asynchronous work</w:t>
      </w:r>
    </w:p>
    <w:p>
      <w:pPr>
        <w:pStyle w:val="ListBullet"/>
        <w:keepLines/>
      </w:pPr>
      <w:r>
        <w:t>Durable jobs store tenant_id, operation_id, job type, and authorization-relevant source metadata; they do not store or trust schema_key.</w:t>
      </w:r>
    </w:p>
    <w:p>
      <w:pPr>
        <w:pStyle w:val="ListBullet"/>
        <w:keepLines/>
      </w:pPr>
      <w:r>
        <w:t>On claim, the worker resolves a fresh context and compares it with the job tenant binding before tenant data access.</w:t>
      </w:r>
    </w:p>
    <w:p>
      <w:pPr>
        <w:pStyle w:val="ListBullet"/>
        <w:keepLines/>
      </w:pPr>
      <w:r>
        <w:t>Cache keys, locks, idempotency keys, temporary artifacts, and queue partitions include or are cryptographically bound to tenant_id.</w:t>
      </w:r>
    </w:p>
    <w:p>
      <w:pPr>
        <w:pStyle w:val="ListBullet"/>
        <w:keepLines/>
      </w:pPr>
      <w:r>
        <w:t>Cross-tenant fan-out creates one child operation, context, and transaction per tenant; no physical connection carries simultaneous tenant work.</w:t>
      </w:r>
    </w:p>
    <w:p>
      <w:pPr>
        <w:pStyle w:val="ListBullet"/>
        <w:keepLines/>
      </w:pPr>
      <w:r>
        <w:t>Retries begin from durable module state and a newly resolved context. An ambiguous transaction is never resumed in memory.</w:t>
      </w:r>
    </w:p>
    <w:p>
      <w:pPr>
        <w:pStyle w:val="Heading1"/>
        <w:keepNext/>
      </w:pPr>
      <w:r>
        <w:t>7. Connection pool and session hygiene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450"/>
        <w:gridCol w:w="5110"/>
        <w:gridCol w:w="280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Phase</w:t>
            </w:r>
          </w:p>
        </w:tc>
        <w:tc>
          <w:tcPr>
            <w:tcW w:type="dxa" w:w="51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Required state / action</w:t>
            </w:r>
          </w:p>
        </w:tc>
        <w:tc>
          <w:tcPr>
            <w:tcW w:type="dxa" w:w="2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Failure response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Checkout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Idle transaction state; effective path [pg_catalog]; pg_my_temp_schema() = 0; no unapproved session variables.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Reset once if contract permits; otherwise discard.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Begin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Start explicit transaction; SET LOCAL bounded timeouts and PHI-free application correlation.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Rollback; discard if begin outcome is uncertain.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Tenant binding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Revalidate registry; SET LOCAL hardened path; verify current_schemas(true) and no temp namespace.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Rollback and discard on any mismatch or uncertain state.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Execution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One context identity; no raw connection; no session SET; no cross-tenant qualification.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Abort on context mismatch; security event.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Commit / rollback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Definitive transaction end or explicit indeterminate outcome.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Do not report success on uncertain commit; reconcile.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Return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Approved reset; verify baseline; clear driver state covered by the reset contract.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Discard and increment reset/discard metric.</w:t>
            </w:r>
          </w:p>
        </w:tc>
      </w:tr>
      <w:tr>
        <w:trPr>
          <w:cantSplit/>
        </w:trPr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Shutdown / cancel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Abort callback; rollback where possible; do not return until baseline is proven.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Close/discard physical connection.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Prohibited runtime session state</w:t>
      </w:r>
    </w:p>
    <w:p>
      <w:pPr>
        <w:pStyle w:val="ListBullet"/>
        <w:keepLines/>
      </w:pPr>
      <w:r>
        <w:t>Session-scoped SET search_path or any tenant binding that can survive commit/rollback.</w:t>
      </w:r>
    </w:p>
    <w:p>
      <w:pPr>
        <w:pStyle w:val="ListBullet"/>
        <w:keepLines/>
      </w:pPr>
      <w:r>
        <w:t>Persistent temporary objects or session variables not covered by an approved reset contract.</w:t>
      </w:r>
    </w:p>
    <w:p>
      <w:pPr>
        <w:pStyle w:val="ListBullet"/>
        <w:keepLines/>
      </w:pPr>
      <w:r>
        <w:t>Prepared statements that embed a caller-controlled or non-validated identifier.</w:t>
      </w:r>
    </w:p>
    <w:p>
      <w:pPr>
        <w:pStyle w:val="ListBullet"/>
        <w:keepLines/>
      </w:pPr>
      <w:r>
        <w:t>Explicit PREPARE or any server-side prepared statement not covered by the tested reset contract.</w:t>
      </w:r>
    </w:p>
    <w:p>
      <w:pPr>
        <w:pStyle w:val="ListBullet"/>
        <w:keepLines/>
      </w:pPr>
      <w:r>
        <w:t>Repository access after the transaction callback returns.</w:t>
      </w:r>
    </w:p>
    <w:p>
      <w:pPr>
        <w:pStyle w:val="ListBullet"/>
        <w:keepLines/>
      </w:pPr>
      <w:r>
        <w:t>Ad hoc connections or direct pool imports outside the M01 package.</w:t>
      </w:r>
    </w:p>
    <w:p>
      <w:pPr>
        <w:pStyle w:val="Heading2"/>
        <w:keepNext/>
      </w:pPr>
      <w:r>
        <w:t>7.2 Approved driver and pool baseline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300"/>
        <w:gridCol w:w="3300"/>
        <w:gridCol w:w="37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Setting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Approved v1 value</w:t>
            </w:r>
          </w:p>
        </w:tc>
        <w:tc>
          <w:tcPr>
            <w:tcW w:type="dxa" w:w="3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Control intent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Database / driver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Cloud SQL PostgreSQL 17 / psycopg3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Pin version-sensitive behavior and use the public identifier-composition API.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Pool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psycopg_pool ConnectionPool or AsyncConnectionPool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Use the documented check and reset callbacks; choose sync or async by service execution model.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Automatic preparation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prepare_threshold=None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Disable psycopg automatic server-side preparation on runtime pools.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Transport / authentication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Cloud SQL Auth Proxy with automatic IAM database authentication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Use short-lived IAM tokens for normal long-running identities.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External pooler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None in v1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Preserve one M01-owned checkout/reset contract; any later pooler is an ADR and requires full re-verification.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Role baseline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ALTER ROLE haloflow_runtime SET search_path = ''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Queries that bypass the gateway fail to resolve tenant objects.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Temporary privilege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REVOKE TEMPORARY ON DATABASE &lt;db&gt; FROM PUBLIC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Remove the default privilege inherited by every role; grant back only to an explicitly approved administrative identity.</w:t>
            </w:r>
          </w:p>
        </w:tc>
      </w:tr>
    </w:tbl>
    <w:p>
      <w:pPr>
        <w:spacing w:after="40"/>
      </w:pPr>
    </w:p>
    <w:p>
      <w:pPr>
        <w:spacing w:before="100" w:after="180" w:line="259" w:lineRule="auto"/>
        <w:ind w:left="173" w:right="173"/>
        <w:shd w:fill="FFF3CD"/>
        <w:pBdr>
          <w:left w:val="single" w:sz="18" w:space="8" w:color="7A5A00"/>
        </w:pBdr>
        <w:keepLines/>
      </w:pPr>
      <w:r>
        <w:rPr>
          <w:rFonts w:ascii="Calibri" w:hAnsi="Calibri" w:eastAsia="Calibri"/>
          <w:b/>
          <w:color w:val="7A5A00"/>
        </w:rPr>
        <w:t xml:space="preserve">Evidence still required. </w:t>
      </w:r>
      <w:r>
        <w:rPr>
          <w:rFonts w:ascii="Calibri" w:hAnsi="Calibri" w:eastAsia="Calibri"/>
          <w:color w:val="243746"/>
        </w:rPr>
        <w:t>M01-OI-001 remains open only for empirical evidence: exact reset coverage, checkout-probe cost, cancellation and shutdown behavior, close/discard semantics, and stage-by-stage transaction setup overhead. These measurements do not block the gateway API freeze, but they do block the release gate.</w:t>
      </w:r>
    </w:p>
    <w:p>
      <w:pPr>
        <w:pStyle w:val="Heading1"/>
        <w:keepNext/>
      </w:pPr>
      <w:r>
        <w:t>8. Data design</w:t>
      </w:r>
    </w:p>
    <w:p>
      <w:pPr>
        <w:pStyle w:val="Heading2"/>
        <w:keepNext/>
      </w:pPr>
      <w:r>
        <w:t>8.1 Shared control schema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150"/>
        <w:gridCol w:w="4320"/>
        <w:gridCol w:w="2890"/>
      </w:tblGrid>
      <w:tr>
        <w:trPr>
          <w:tblHeader w:val="true"/>
          <w:cantSplit/>
        </w:trPr>
        <w:tc>
          <w:tcPr>
            <w:tcW w:type="dxa" w:w="21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Table</w:t>
            </w:r>
          </w:p>
        </w:tc>
        <w:tc>
          <w:tcPr>
            <w:tcW w:type="dxa" w:w="43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Purpose and key fields</w:t>
            </w:r>
          </w:p>
        </w:tc>
        <w:tc>
          <w:tcPr>
            <w:tcW w:type="dxa" w:w="289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Integrity / access rules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shared.tenants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tenant_id, schema_key, lifecycle_state, schema_version, timestamps, display reference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Sole mapping authority; unique tenant/schema; identity immutable; no clinical payload.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shared.tenant_state_history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event_id, tenant_id, prior/new state, reason, actor, time, correlation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Append-only; legal transition; reason required.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shared.schema_migrations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tenant_id, migration_id, checksum, state, attempt, timestamps, sanitized error code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Unique tenant + migration; restartable ledger; no raw sensitive errors.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shared.support_access_grants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grant_id, actor, tenant, ticket, purpose, capabilities, approver, start/expiry, state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Approved scope immutable; time bounded; revocation and expiry enforced.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shared.access_audit_log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audit_id, source_event_id, principal, tenant, action/resource class, purpose, outcome, correlation, time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Append-only global trail; AuditProjector and approved control/support identities may INSERT; runtime has no direct grant.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shared.isolation_alerts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alert_id, tenant if known, source, type, severity, correlation, state, timestamps</w:t>
            </w:r>
          </w:p>
        </w:tc>
        <w:tc>
          <w:tcPr>
            <w:tcW w:type="dxa" w:w="2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 PHI; security-owned workflow; evidence preserved.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Required constraints and indexes</w:t>
      </w:r>
    </w:p>
    <w:p>
      <w:pPr>
        <w:pStyle w:val="ListBullet"/>
        <w:keepLines/>
      </w:pPr>
      <w:r>
        <w:t>Unique indexes on shared.tenants(tenant_id) and shared.tenants(schema_key); schema_key immutable after activation.</w:t>
      </w:r>
    </w:p>
    <w:p>
      <w:pPr>
        <w:pStyle w:val="ListBullet"/>
        <w:keepLines/>
      </w:pPr>
      <w:r>
        <w:t>Check constraint or equivalent trusted validation for schema_key format; application validation remains mandatory before SQL construction.</w:t>
      </w:r>
    </w:p>
    <w:p>
      <w:pPr>
        <w:pStyle w:val="ListBullet"/>
        <w:keepLines/>
      </w:pPr>
      <w:r>
        <w:t>State-transition validation and append-only state history in the same control transaction.</w:t>
      </w:r>
    </w:p>
    <w:p>
      <w:pPr>
        <w:pStyle w:val="ListBullet"/>
        <w:keepLines/>
      </w:pPr>
      <w:r>
        <w:t>Indexes supporting registry resolution by tenant_id, migration drift by tenant/state/version, support grant lookup by actor/tenant/state/expiry, and audit investigation by tenant/principal/time; source_event_id is unique for idempotent projection.</w:t>
      </w:r>
    </w:p>
    <w:p>
      <w:pPr>
        <w:pStyle w:val="ListBullet"/>
        <w:keepLines/>
      </w:pPr>
      <w:r>
        <w:t>Foreign keys from control records to tenant_id where retention/tombstone policy permits; decommission preserves a non-resolvable tombstone identity.</w:t>
      </w:r>
    </w:p>
    <w:p>
      <w:pPr>
        <w:pStyle w:val="ListBullet"/>
        <w:keepLines/>
      </w:pPr>
      <w:r>
        <w:t>Every shared column represented in a machine-readable classification manifest as control-plane, pseudonymous identifier, or PHI; PHI requires an approved architecture exception.</w:t>
      </w:r>
    </w:p>
    <w:p>
      <w:pPr>
        <w:pStyle w:val="Heading2"/>
        <w:keepNext/>
      </w:pPr>
      <w:r>
        <w:t>8.3 Tenant schema baseline</w:t>
      </w:r>
    </w:p>
    <w:p>
      <w:r>
        <w:rPr>
          <w:rFonts w:ascii="Calibri" w:hAnsi="Calibri" w:eastAsia="Calibri"/>
          <w:i w:val="0"/>
          <w:color w:val="243746"/>
        </w:rPr>
        <w:t>Every tenant schema is produced from the same ordered, checksummed migration set and carries a physical schema-version marker. It includes an append-only access_audit_outbox with source_event_id, actor/workload, operation correlation, controlled action/resource codes, outcome, and timestamps without PHI payload. Runtime writes this record inside the tenant transaction; AuditProjector copies committed records idempotently into shared.access_audit_log and records projection/reconciliation state. Tenant-specific DDL forks are prohibited unless introduced as a governed platform feature with compatibility and isolation tests.</w:t>
      </w:r>
    </w:p>
    <w:p>
      <w:pPr>
        <w:pStyle w:val="Heading1"/>
        <w:keepNext/>
      </w:pPr>
      <w:r>
        <w:t>9. Database identities, roles, and grants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300"/>
        <w:gridCol w:w="4300"/>
        <w:gridCol w:w="27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Role / identity</w:t>
            </w:r>
          </w:p>
        </w:tc>
        <w:tc>
          <w:tcPr>
            <w:tcW w:type="dxa" w:w="4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Allowed</w:t>
            </w:r>
          </w:p>
        </w:tc>
        <w:tc>
          <w:tcPr>
            <w:tcW w:type="dxa" w:w="2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Explicitly denied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haloflow_runtime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Connect; select approved shared registry columns; approved tenant business DML; INSERT-only on tenant-local access_audit_outbox.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UPDATE/DELETE/TRUNCATE on the outbox; direct shared audit writes; TEMPORARY; ownership; DDL; public CREATE; support/provisioning/migration actions.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haloflow_migrator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Apply checksummed DDL to targeted tenant schemas; write migration ledger through controlled workflow.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Ordinary application use; unapproved shared-schema changes; customer support use.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haloflow_provisioner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Allocate schema identity, create schema, apply baseline, establish grants, validate, and transition lifecycle.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Tenant business operations; activation before gates pass.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haloflow_audit_projector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Read committed tenant audit-outbox records through the controlled projector and INSERT idempotently into shared.access_audit_log.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Tenant business mutation; UPDATE/DELETE/TRUNCATE global audit; arbitrary SQL entry point.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haloflow_support_ro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Minimum-necessary reads through SupportAccessGateway for one approved tenant and time window.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Writes, DDL, arbitrary tenant switching, use without grant/ticket.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haloflow_breakglass_ro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Minimum-necessary emergency reads under a short-lived approved grant.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Writes, standing credentials, unbounded scope, unaudited use.</w:t>
            </w:r>
          </w:p>
        </w:tc>
      </w:tr>
      <w:tr>
        <w:trPr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haloflow_breakglass_rw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Explicitly approved emergency writes when read-only access is proven insufficient.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Default assignment, standing membership, use without separate write approval, alert, and review.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 w:val="0"/>
          <w:color w:val="243746"/>
        </w:rPr>
        <w:t>Application roles do not own schemas or objects. A NOLOGIN owner role owns schemas and objects; the provisioner assumes it only through a controlled SET ROLE path. Database TEMPORARY is revoked from PUBLIC and granted back only by explicit exception. Default privileges and migration-time grants must match a version-controlled permissions manifest; CI and pre-production inspect effective grants and prove prohibited actions fail.</w:t>
      </w:r>
    </w:p>
    <w:p>
      <w:pPr>
        <w:pStyle w:val="Heading1"/>
        <w:keepNext/>
      </w:pPr>
      <w:r>
        <w:t>10. Support access and break-glass</w:t>
      </w:r>
    </w:p>
    <w:p>
      <w:pPr>
        <w:pStyle w:val="Heading2"/>
        <w:keepNext/>
      </w:pPr>
      <w:r>
        <w:t>10.1 Support access state machine</w:t>
      </w:r>
    </w:p>
    <w:p>
      <w:pPr>
        <w:numPr>
          <w:ilvl w:val="0"/>
          <w:numId w:val="12"/>
        </w:numPr>
        <w:pStyle w:val="ListNumber"/>
        <w:keepLines/>
      </w:pPr>
      <w:r>
        <w:t>Request: named workforce identity selects tenant, ticket/case, controlled purpose, capability, and requested duration.</w:t>
      </w:r>
    </w:p>
    <w:p>
      <w:pPr>
        <w:numPr>
          <w:ilvl w:val="0"/>
          <w:numId w:val="12"/>
        </w:numPr>
        <w:pStyle w:val="ListNumber"/>
        <w:keepLines/>
      </w:pPr>
      <w:r>
        <w:t>Approve: policy evaluates approver requirement, separation of duties, maximum duration, and minimum necessary scope.</w:t>
      </w:r>
    </w:p>
    <w:p>
      <w:pPr>
        <w:numPr>
          <w:ilvl w:val="0"/>
          <w:numId w:val="12"/>
        </w:numPr>
        <w:pStyle w:val="ListNumber"/>
        <w:keepLines/>
      </w:pPr>
      <w:r>
        <w:t>Start: SupportAccessGateway validates active grant and stronger authentication where required, then obtains the support read-only role by default.</w:t>
      </w:r>
    </w:p>
    <w:p>
      <w:pPr>
        <w:numPr>
          <w:ilvl w:val="0"/>
          <w:numId w:val="12"/>
        </w:numPr>
        <w:pStyle w:val="ListNumber"/>
        <w:keepLines/>
      </w:pPr>
      <w:r>
        <w:t>Act: every meaningful read/action emits an append-only structured event through the separately restricted support-audit writer identity; the read-only support role itself receives no audit-table write grant.</w:t>
      </w:r>
    </w:p>
    <w:p>
      <w:pPr>
        <w:numPr>
          <w:ilvl w:val="0"/>
          <w:numId w:val="12"/>
        </w:numPr>
        <w:pStyle w:val="ListNumber"/>
        <w:keepLines/>
      </w:pPr>
      <w:r>
        <w:t>Elevate: a new approval event is required; write capability is permitted only when read-only is insufficient.</w:t>
      </w:r>
    </w:p>
    <w:p>
      <w:pPr>
        <w:numPr>
          <w:ilvl w:val="0"/>
          <w:numId w:val="12"/>
        </w:numPr>
        <w:pStyle w:val="ListNumber"/>
        <w:keepLines/>
      </w:pPr>
      <w:r>
        <w:t>End: explicit end, revocation, or automatic expiry closes the session and credentials; all pooled state is discarded or reset.</w:t>
      </w:r>
    </w:p>
    <w:p>
      <w:pPr>
        <w:numPr>
          <w:ilvl w:val="0"/>
          <w:numId w:val="12"/>
        </w:numPr>
        <w:pStyle w:val="ListNumber"/>
        <w:keepLines/>
      </w:pPr>
      <w:r>
        <w:t>Review: required sessions—always break-glass, plus policy-selected support sessions—receive retrospective review evidence.</w:t>
      </w:r>
    </w:p>
    <w:p>
      <w:pPr>
        <w:pStyle w:val="Heading2"/>
        <w:keepNext/>
      </w:pPr>
      <w:r>
        <w:t>10.2 Break-glass additions</w:t>
      </w:r>
    </w:p>
    <w:p>
      <w:pPr>
        <w:pStyle w:val="ListBullet"/>
        <w:keepLines/>
      </w:pPr>
      <w:r>
        <w:t>Explicit emergency reason and ticket, enhanced authentication, short maximum expiry, and named accountable actor.</w:t>
      </w:r>
    </w:p>
    <w:p>
      <w:pPr>
        <w:pStyle w:val="ListBullet"/>
        <w:keepLines/>
      </w:pPr>
      <w:r>
        <w:t>Real-time alert at activation and elevation, with tenant and correlation but no PHI.</w:t>
      </w:r>
    </w:p>
    <w:p>
      <w:pPr>
        <w:pStyle w:val="ListBullet"/>
        <w:keepLines/>
      </w:pPr>
      <w:r>
        <w:t>Full action audit, automatic expiry, credential revocation, and mandatory retrospective review.</w:t>
      </w:r>
    </w:p>
    <w:p>
      <w:pPr>
        <w:pStyle w:val="ListBullet"/>
        <w:keepLines/>
      </w:pPr>
      <w:r>
        <w:t>Read-only and write-capable break-glass are separate roles; the write role requires a distinct approval and is never the default.</w:t>
      </w:r>
    </w:p>
    <w:p>
      <w:pPr>
        <w:pStyle w:val="ListBullet"/>
        <w:keepLines/>
      </w:pPr>
      <w:r>
        <w:t>Normal long-running identities use automatic IAM database authentication. The independent emergency authentication fallback is intentionally open under M01-OI-004 and cannot be enabled until Security approves its custody, dual control, rotation, test, and revocation procedure.</w:t>
      </w:r>
    </w:p>
    <w:p>
      <w:pPr>
        <w:pStyle w:val="ListBullet"/>
        <w:keepLines/>
      </w:pPr>
      <w:r>
        <w:t>No reusable standing break-glass credential in application configuration or engineer workstations.</w:t>
      </w:r>
    </w:p>
    <w:p>
      <w:pPr>
        <w:pStyle w:val="Heading1"/>
        <w:keepNext/>
      </w:pPr>
      <w:r>
        <w:t>11. Provisioning, migration, and tenant lifecycle operations</w:t>
      </w:r>
    </w:p>
    <w:p>
      <w:pPr>
        <w:pStyle w:val="Heading2"/>
        <w:keepNext/>
      </w:pPr>
      <w:r>
        <w:t>11.1 Provisioning workflow</w:t>
      </w:r>
    </w:p>
    <w:p>
      <w:pPr>
        <w:numPr>
          <w:ilvl w:val="0"/>
          <w:numId w:val="13"/>
        </w:numPr>
        <w:pStyle w:val="ListNumber"/>
        <w:keepLines/>
      </w:pPr>
      <w:r>
        <w:t>Create opaque tenant_id and trusted schema_key; insert registry row in provisioning state.</w:t>
      </w:r>
    </w:p>
    <w:p>
      <w:pPr>
        <w:numPr>
          <w:ilvl w:val="0"/>
          <w:numId w:val="13"/>
        </w:numPr>
        <w:pStyle w:val="ListNumber"/>
        <w:keepLines/>
      </w:pPr>
      <w:r>
        <w:t>Create the tenant schema using the provisioner identity; never reuse an ambiguous or partially failed schema identity.</w:t>
      </w:r>
    </w:p>
    <w:p>
      <w:pPr>
        <w:numPr>
          <w:ilvl w:val="0"/>
          <w:numId w:val="13"/>
        </w:numPr>
        <w:pStyle w:val="ListNumber"/>
        <w:keepLines/>
      </w:pPr>
      <w:r>
        <w:t>Apply the complete current migration baseline in order; record migration ID, checksum, attempt, and sanitized outcome.</w:t>
      </w:r>
    </w:p>
    <w:p>
      <w:pPr>
        <w:numPr>
          <w:ilvl w:val="0"/>
          <w:numId w:val="13"/>
        </w:numPr>
        <w:pStyle w:val="ListNumber"/>
        <w:keepLines/>
      </w:pPr>
      <w:r>
        <w:t>Apply and inspect grants/default privileges against the permissions manifest.</w:t>
      </w:r>
    </w:p>
    <w:p>
      <w:pPr>
        <w:numPr>
          <w:ilvl w:val="0"/>
          <w:numId w:val="13"/>
        </w:numPr>
        <w:pStyle w:val="ListNumber"/>
        <w:keepLines/>
      </w:pPr>
      <w:r>
        <w:t>Run schema-version, naming, public-shadowing, same-tenant, cross-tenant, and pool-isolation smoke tests.</w:t>
      </w:r>
    </w:p>
    <w:p>
      <w:pPr>
        <w:numPr>
          <w:ilvl w:val="0"/>
          <w:numId w:val="13"/>
        </w:numPr>
        <w:pStyle w:val="ListNumber"/>
        <w:keepLines/>
      </w:pPr>
      <w:r>
        <w:t>Record evidence and transition to active atomically only after all gates pass; otherwise remain unavailable and resumable/rollback-safe.</w:t>
      </w:r>
    </w:p>
    <w:p>
      <w:pPr>
        <w:pStyle w:val="Heading2"/>
        <w:keepNext/>
      </w:pPr>
      <w:r>
        <w:t>11.2 Migration orchestration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Concern</w:t>
            </w:r>
          </w:p>
        </w:tc>
        <w:tc>
          <w:tcPr>
            <w:tcW w:type="dxa" w:w="7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Design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Ordering and identity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Monotonic migration ID plus immutable checksum; application declares compatible schema range.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Restartability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Each migration is idempotent or records enough durable state for safe resume/forward-fix.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Rollout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Synthetic tenant → canary tenant(s) → bounded batches; pause automatically on configured error or drift thresholds.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Compatibility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Gateway rejects a tenant whose physical/registry version is outside the deployment's supported range.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Concurrency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Per-tenant advisory/ledger lock and documented global lock order for any shared control change.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Failure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Tenant remains on prior compatible application path or is held unavailable; never silently run incompatible behavior.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Rollback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Prefer expand/contract and forward-fix; destructive or irreversible steps require a compatibility window and approved recovery plan.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11.3 Suspension, archival, and decommissioning</w:t>
      </w:r>
    </w:p>
    <w:p>
      <w:r>
        <w:rPr>
          <w:rFonts w:ascii="Calibri" w:hAnsi="Calibri" w:eastAsia="Calibri"/>
          <w:i w:val="0"/>
          <w:color w:val="243746"/>
        </w:rPr>
        <w:t>Lifecycle transitions are privileged control-plane operations with reason, approval basis, actor/workload, time, and correlation. Suspension blocks new writes and scheduled work according to the approved matrix. Decommissioning verifies retention and legal hold, contracted export, deletion evidence, two-person or equivalent approval for destructive steps, physical schema removal, and registry tombstoning so the schema can no longer resolve.</w:t>
      </w:r>
    </w:p>
    <w:p>
      <w:pPr>
        <w:pStyle w:val="Heading1"/>
        <w:keepNext/>
      </w:pPr>
      <w:r>
        <w:t>12. Error and failure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500"/>
        <w:gridCol w:w="2560"/>
        <w:gridCol w:w="430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Internal error class</w:t>
            </w:r>
          </w:p>
        </w:tc>
        <w:tc>
          <w:tcPr>
            <w:tcW w:type="dxa" w:w="2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External behavior</w:t>
            </w:r>
          </w:p>
        </w:tc>
        <w:tc>
          <w:tcPr>
            <w:tcW w:type="dxa" w:w="4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Operational response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TENANT_DENIED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Generic non-enumerable denial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Reason code + correlation; rate/abuse signal.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TENANT_INACTIVE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Generic unavailable/denied response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Lifecycle metric; no tenant-existence disclosure.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CONTEXT_INVALID / EXPIRED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Authentication/authorization failure as appropriate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Reject before checkout; security signal for mismatch.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REGISTRY_INCONSISTENT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Generic unavailable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Stop processing; page owner; preserve evidence.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SCHEMA_KEY_INVALID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Generic unavailable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Security-significant alert; never attempt routing.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ROUTING_SETUP_FAILED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Generic transient/unavailable if safe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Rollback; discard uncertain connection; alert on threshold.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ROUTING_MISMATCH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Generic unavailable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Stop affected processing; security incident path.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BUSINESS_TX_FAILED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Module-defined sanitized error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Rollback; module applies safe idempotent retry policy.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COMMIT_INDETERMINATE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Never report success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Return the module-owned operation_id; reconcile against its durable idempotency/operation record using a new context and transaction.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POOL_RESET_FAILED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 direct client detail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Discard; metric and alert threshold.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AUDIT_PROJECTION_LAG / FAILED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 false claim that global audit is current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Retain tenant outbox source; retry idempotently; alert on age/backlog threshold and reconcile by source_event_id.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6"/>
              </w:rPr>
              <w:t>SUPPORT_AUDIT_UNAVAILABLE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Support start/elevation denied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Fail closed; break-glass exception only under approved policy.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Observability and audit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900"/>
        <w:gridCol w:w="3760"/>
        <w:gridCol w:w="37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Signal</w:t>
            </w:r>
          </w:p>
        </w:tc>
        <w:tc>
          <w:tcPr>
            <w:tcW w:type="dxa" w:w="3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Minimum dimensions</w:t>
            </w:r>
          </w:p>
        </w:tc>
        <w:tc>
          <w:tcPr>
            <w:tcW w:type="dxa" w:w="3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Context resolution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outcome, reason_code, auth_method, service, deployment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Tenant uses approved pseudonymous representation; never schema_key.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Transaction setup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outcome, setup_stage, service, deployment, db_instance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Separate resolution, checkout, begin, SET LOCAL, verification, and cleanup latency.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Pool hygiene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reset_outcome, discard_reason, pool, driver_version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Alert on reset failure, contamination, or unexpected discard rate.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Lifecycle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state, denied_operation_class, transition outcome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 customer display name or free-text reason in metrics.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Migration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migration_id, checksum version, tenant pseudonym, state, attempt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Detect drift and incompatible application/schema versions.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Support / break-glass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grant_id, actor pseudonym, capability, outcome, ticket reference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Append-only audit plus activation/elevation/expiry alerts.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Audit projection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source_event_id, tenant pseudonym, age, attempt, outcome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Alert on backlog age, missing projection, duplicate conflict, or reconciliation mismatch.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Resource fairness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tenant pseudonym, workload class, queue depth, concurrency, timeout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Bound noisy-neighbor effects without logging payloads.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Severity and response</w:t>
      </w:r>
    </w:p>
    <w:p>
      <w:pPr>
        <w:spacing w:before="100" w:after="180" w:line="259" w:lineRule="auto"/>
        <w:ind w:left="173" w:right="173"/>
        <w:shd w:fill="FCE8E6"/>
        <w:pBdr>
          <w:left w:val="single" w:sz="18" w:space="8" w:color="9B1C1C"/>
        </w:pBdr>
        <w:keepLines/>
      </w:pPr>
      <w:r>
        <w:rPr>
          <w:rFonts w:ascii="Calibri" w:hAnsi="Calibri" w:eastAsia="Calibri"/>
          <w:b/>
          <w:color w:val="9B1C1C"/>
        </w:rPr>
        <w:t xml:space="preserve">Severity 1. </w:t>
      </w:r>
      <w:r>
        <w:rPr>
          <w:rFonts w:ascii="Calibri" w:hAnsi="Calibri" w:eastAsia="Calibri"/>
          <w:color w:val="243746"/>
        </w:rPr>
        <w:t>Any verified cross-tenant access or mutation. Stop affected processing, preserve evidence, page the assigned owner, and execute the isolation incident runbook.</w:t>
      </w:r>
    </w:p>
    <w:p>
      <w:r>
        <w:rPr>
          <w:rFonts w:ascii="Calibri" w:hAnsi="Calibri" w:eastAsia="Calibri"/>
          <w:i w:val="0"/>
          <w:color w:val="243746"/>
        </w:rPr>
        <w:t>A suspected routing mismatch, connection contamination, or invalid registry mapping is security-significant. The system should quarantine affected work and connection(s), prevent automatic fallback, retain correlations and deployment/driver versions, and avoid capturing PHI during evidence collection.</w:t>
      </w:r>
    </w:p>
    <w:p>
      <w:pPr>
        <w:pStyle w:val="Heading2"/>
        <w:keepNext/>
      </w:pPr>
      <w:r>
        <w:t>13.2 Audit event shape</w:t>
      </w:r>
    </w:p>
    <w:p>
      <w:r>
        <w:rPr>
          <w:rFonts w:ascii="Calibri" w:hAnsi="Calibri" w:eastAsia="Calibri"/>
          <w:i w:val="0"/>
          <w:color w:val="243746"/>
        </w:rPr>
        <w:t>Runtime PHI-touching operations first create the tenant-local source event in the same transaction as the relevant read/write unit. AuditProjector later copies that event into the global append-only table using source_event_id as the idempotency key. Support, provisioning, and break-glass gateways write global control events using their own restricted identities. The runtime GUC app.tenant_id may be compared with the source event for defect detection, but it is never treated as proof of authorization or tenant identity.</w:t>
      </w:r>
    </w:p>
    <w:p>
      <w:pPr>
        <w:pStyle w:val="CodeBlock"/>
        <w:keepLines/>
        <w:shd w:fill="F4F6F9"/>
        <w:pBdr>
          <w:top w:val="single" w:sz="4" w:space="4" w:color="C9D1D9"/>
          <w:left w:val="single" w:sz="4" w:space="4" w:color="C9D1D9"/>
          <w:bottom w:val="single" w:sz="4" w:space="4" w:color="C9D1D9"/>
          <w:right w:val="single" w:sz="4" w:space="4" w:color="C9D1D9"/>
        </w:pBdr>
      </w:pPr>
      <w:r>
        <w:rPr>
          <w:rFonts w:ascii="Consolas" w:hAnsi="Consolas" w:eastAsia="Consolas"/>
          <w:color w:val="1F4D78"/>
          <w:sz w:val="17"/>
        </w:rPr>
        <w:t>{</w:t>
        <w:br/>
        <w:t xml:space="preserve">  event_id, occurred_at, event_type, outcome,</w:t>
        <w:br/>
        <w:t xml:space="preserve">  tenant_id_pseudonym, actor_or_workload_id, auth_method,</w:t>
        <w:br/>
        <w:t xml:space="preserve">  purpose_code, capability_code, resource_class,</w:t>
        <w:br/>
        <w:t xml:space="preserve">  request_id?, operation_id?, support_grant_id?, ticket_id?,</w:t>
        <w:br/>
        <w:t xml:space="preserve">  service, deployment_version, reason_code</w:t>
        <w:br/>
        <w:t>}</w:t>
        <w:br/>
        <w:t>// Never include payload, patient name, document/message content, query parameter, or raw SQL value.</w:t>
      </w:r>
    </w:p>
    <w:p>
      <w:pPr>
        <w:pStyle w:val="Heading1"/>
        <w:keepNext/>
      </w:pPr>
      <w:r>
        <w:t>14. Reliability, performance, and resource fairness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550"/>
        <w:gridCol w:w="4700"/>
        <w:gridCol w:w="311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Quality</w:t>
            </w:r>
          </w:p>
        </w:tc>
        <w:tc>
          <w:tcPr>
            <w:tcW w:type="dxa" w:w="4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Design mechanism</w:t>
            </w:r>
          </w:p>
        </w:tc>
        <w:tc>
          <w:tcPr>
            <w:tcW w:type="dxa" w:w="31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7"/>
              </w:rPr>
              <w:t>Verification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Availability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Fail closed when context cannot be trusted; retry only idempotent work from durable state.</w:t>
            </w:r>
          </w:p>
        </w:tc>
        <w:tc>
          <w:tcPr>
            <w:tcW w:type="dxa" w:w="3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Dependency failure and recovery tests; approved workflow SLOs.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Setup overhead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Measure registry lookup, checkout, BEGIN, routing setup, verification, and cleanup separately.</w:t>
            </w:r>
          </w:p>
        </w:tc>
        <w:tc>
          <w:tcPr>
            <w:tcW w:type="dxa" w:w="3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Production-like baselines; targets approved before production.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Concurrency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Immutable per-operation context, transaction-local routing, bounded timeouts, no session tenant state.</w:t>
            </w:r>
          </w:p>
        </w:tc>
        <w:tc>
          <w:tcPr>
            <w:tcW w:type="dxa" w:w="3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Same/different tenant parallelism, saturation, cancellation, failover.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Fairness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Per-tenant/workload concurrency limits, queue bounds, backpressure, statement timeout, and retry budgets.</w:t>
            </w:r>
          </w:p>
        </w:tc>
        <w:tc>
          <w:tcPr>
            <w:tcW w:type="dxa" w:w="3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At least two tenants; saturate one and preserve peer service objective.</w:t>
            </w:r>
          </w:p>
        </w:tc>
      </w:tr>
      <w:tr>
        <w:trPr>
          <w:cantSplit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7"/>
              </w:rPr>
              <w:t>Recovery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New context and transaction after restart/failover; indeterminate commits reconcile through a module-owned operation_id and durable record.</w:t>
            </w:r>
          </w:p>
        </w:tc>
        <w:tc>
          <w:tcPr>
            <w:tcW w:type="dxa" w:w="3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7"/>
              </w:rPr>
              <w:t>Fault injection at each boundary and failover exercise.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i w:val="0"/>
          <w:color w:val="243746"/>
        </w:rPr>
        <w:t>Exact quotas, SLOs, statement/transaction timeouts, pool sizes, queue bounds, and operative isolation-review thresholds remain open until production-like load testing. Fifty active tenants remains a provisional planning trigger only. Operative signals include migration duration, catalog size, relation count, pool memory, and observed noisy-neighbor impact. Correctness and verification controls are not disabled to meet latency targets.</w:t>
      </w:r>
    </w:p>
    <w:p>
      <w:pPr>
        <w:pStyle w:val="Heading1"/>
        <w:keepNext/>
      </w:pPr>
      <w:r>
        <w:t>15. Security and privacy analysis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2450"/>
        <w:gridCol w:w="3700"/>
        <w:gridCol w:w="3210"/>
      </w:tblGrid>
      <w:tr>
        <w:trPr>
          <w:tblHeader w:val="true"/>
          <w:cantSplit/>
        </w:trPr>
        <w:tc>
          <w:tcPr>
            <w:tcW w:type="dxa" w:w="2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Threat / failure mode</w:t>
            </w:r>
          </w:p>
        </w:tc>
        <w:tc>
          <w:tcPr>
            <w:tcW w:type="dxa" w:w="3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Primary prevention</w:t>
            </w:r>
          </w:p>
        </w:tc>
        <w:tc>
          <w:tcPr>
            <w:tcW w:type="dxa" w:w="32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Detection / containment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Forged tenant or schema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Authorize tenant binding; ignore transport schema; registry-derived key only.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Context mismatch event; non-enumerable denial; abuse metric.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Identifier injection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Strict schema-key allowlist plus driver identifier quoting; helper private to M01.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Negative fuzz tests; static check for raw schema interpolation.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Catalog/temp object shadowing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pg_catalog first; tenant second; pg_temp last; revoke TEMPORARY from PUBLIC; exact effective-path verification.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Collision tests plus checkout rejection when a temp namespace exists.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Pool contamination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SET LOCAL; finally cleanup; reset-and-verify or discard.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Alternating-tenant reuse tests; reset/discard alerts.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Confused deputy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Principal + purpose + capability + resource binding in immutable context.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Cross-binding negative tests; audit correlation.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Privilege escalation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Separate roles/pools; runtime no DDL/ownership; support grant and expiry.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Permissions manifest inspection; grant-drift alert.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Global audit forgery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Runtime has no direct shared audit INSERT; projector/control identities are purpose-restricted.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Grant-negative test; source/global reconciliation and duplicate detection.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Support misuse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Named identity, ticket, minimum necessary, read-only default, bounded grant.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Append-only action audit, alert, retrospective review.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PHI leakage in telemetry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Controlled event schemas and prohibited-field policy; no raw SQL values.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Automated log scanning and privacy review.</w:t>
            </w:r>
          </w:p>
        </w:tc>
      </w:tr>
      <w:tr>
        <w:trPr>
          <w:cantSplit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Noisy neighbor</w:t>
            </w:r>
          </w:p>
        </w:tc>
        <w:tc>
          <w:tcPr>
            <w:tcW w:type="dxa" w:w="3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Per-tenant bounds, backpressure, timeout, retry budget.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Peer-tenant SLO test and resource-pressure alert.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Verification strategy and release gates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600"/>
        <w:gridCol w:w="4880"/>
        <w:gridCol w:w="288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Test layer</w:t>
            </w:r>
          </w:p>
        </w:tc>
        <w:tc>
          <w:tcPr>
            <w:tcW w:type="dxa" w:w="4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Required coverage</w:t>
            </w:r>
          </w:p>
        </w:tc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6"/>
              </w:rPr>
              <w:t>Release evidence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Unit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Registry validation, context construction/expiry, lifecycle matrix, allowlist/quoting, error sanitization, capabilities.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Passing positive and negative suite.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Static / repository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Direct pool imports, ad hoc connections, raw schema interpolation, session SET, prohibited tenant qualification.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CI blocks prohibited patterns; ownership rules enforced.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Database integration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SET LOCAL scope, current_schemas(true), temp/catalog collision, rollback, grants, DDL denial, audit immutability.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Production-like PostgreSQL 17 results and permissions manifest.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Pool isolation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Alternating tenants on same physical connection, error, timeout, cancellation, shutdown, prepared statements.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 prior state observable; reset/discard proven.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Concurrency / fairness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Same and different tenants, identical business IDs, pool saturation, failover, migration overlap, noisy neighbor.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No bleed/collision; peer objective retained; controls alert.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Security / privacy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Forged context/schema, IDOR, confused deputy, injection, expired support grant, break-glass, telemetry PHI review.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Security/privacy sign-off; zero open critical/high findings.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Migration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New tenant, canary, mixed-version rejection, failure/resume, rollback/forward-fix, drift alert.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Runbook and recorded tenant-by-tenant evidence.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E2E / recovery</w:t>
            </w:r>
          </w:p>
        </w:tc>
        <w:tc>
          <w:tcPr>
            <w:tcW w:type="dxa" w:w="4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At least two tenants through representative M02–M12 scaffolds; suspected isolation incident and break-glass exercise.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6"/>
              </w:rPr>
              <w:t>Isolation assertions, containment, expiry, and review evidence.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16.1 Mandatory negative isolation scenarios</w:t>
      </w:r>
    </w:p>
    <w:p>
      <w:pPr>
        <w:pStyle w:val="ListBullet"/>
        <w:keepLines/>
      </w:pPr>
      <w:r>
        <w:t>Read, write, join, subquery, prepared statement, retry, cancellation, timeout, and exception paths across two tenants with identical business identifiers.</w:t>
      </w:r>
    </w:p>
    <w:p>
      <w:pPr>
        <w:pStyle w:val="ListBullet"/>
        <w:keepLines/>
      </w:pPr>
      <w:r>
        <w:t>Attempt a nested gateway call or change context/tenant binding inside an open transaction; verify rejection before a second checkout.</w:t>
      </w:r>
    </w:p>
    <w:p>
      <w:pPr>
        <w:pStyle w:val="ListBullet"/>
        <w:keepLines/>
      </w:pPr>
      <w:r>
        <w:t>Alternate tenant A and tenant B repeatedly on the same physical connection; verify no prior schema, temporary state, prepared statement, or variable survives and no tenant-A statement is reusable under tenant B.</w:t>
      </w:r>
    </w:p>
    <w:p>
      <w:pPr>
        <w:pStyle w:val="ListBullet"/>
        <w:keepLines/>
      </w:pPr>
      <w:r>
        <w:t>Forge tenant_id, schema_key, route binding, job binding, resource binding, support grant, and expired context.</w:t>
      </w:r>
    </w:p>
    <w:p>
      <w:pPr>
        <w:pStyle w:val="ListBullet"/>
        <w:keepLines/>
      </w:pPr>
      <w:r>
        <w:t>Attempt to create a temporary object as haloflow_runtime and verify database privilege denial; inject a pre-existing temp namespace in a test fixture and verify checkout rejection/discard.</w:t>
      </w:r>
    </w:p>
    <w:p>
      <w:pPr>
        <w:pStyle w:val="ListBullet"/>
        <w:keepLines/>
      </w:pPr>
      <w:r>
        <w:t>Create an object in a tenant schema colliding with a pg_catalog built-in and verify the built-in still resolves; prove public and shared never appear in the effective path.</w:t>
      </w:r>
    </w:p>
    <w:p>
      <w:pPr>
        <w:pStyle w:val="ListBullet"/>
        <w:keepLines/>
      </w:pPr>
      <w:r>
        <w:t>Assert current_schemas(true) equals [pg_catalog, selected tenant] exactly and pg_my_temp_schema() is zero for every tenant transaction.</w:t>
      </w:r>
    </w:p>
    <w:p>
      <w:pPr>
        <w:pStyle w:val="ListBullet"/>
        <w:keepLines/>
      </w:pPr>
      <w:r>
        <w:t>Attempt INSERT, UPDATE, DELETE, and TRUNCATE on shared.access_audit_log as haloflow_runtime and verify denial; then prove outbox projection is idempotent and reconcilable.</w:t>
      </w:r>
    </w:p>
    <w:p>
      <w:pPr>
        <w:pStyle w:val="ListBullet"/>
        <w:keepLines/>
      </w:pPr>
      <w:r>
        <w:t>Introduce registry/schema mismatch, migration drift, reset failure, connection loss, and uncertain commit; verify fail-closed behavior and evidence.</w:t>
      </w:r>
    </w:p>
    <w:p>
      <w:pPr>
        <w:pStyle w:val="Heading1"/>
        <w:keepNext/>
      </w:pPr>
      <w:r>
        <w:t>17. Deployment, rollout, and rollback</w:t>
      </w:r>
    </w:p>
    <w:p>
      <w:pPr>
        <w:pStyle w:val="Heading2"/>
        <w:keepNext/>
      </w:pPr>
      <w:r>
        <w:t>17.1 Rollout phases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Phase</w:t>
            </w:r>
          </w:p>
        </w:tc>
        <w:tc>
          <w:tcPr>
            <w:tcW w:type="dxa" w:w="7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8"/>
              </w:rPr>
              <w:t>Entry / exit intent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1. Foundation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Create roles, grants manifest, registry/control tables, shared-column classification manifest, and migration ledger in non-production.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2. Library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Ship versioned TenantContext and gateway APIs; restrict direct pool imports to M01-owned modules.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3. Synthetic isolation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Provision two or more synthetic tenants; pass full negative, pool, concurrency, fairness, and recovery suites.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4. Dependent-module canary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Move M02–M12 scaffolds behind the gateway; use shadow/read-only comparison where feasible.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5. Limited pilot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Enable production provisioning behind change control only after core tenant-isolation gates pass. Support and break-glass remain disabled; monitor denial, mismatch, reset, audit projection, drift, and fairness signals.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8"/>
              </w:rPr>
              <w:t>6. General availability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8"/>
              </w:rPr>
              <w:t>Proceed only after blockers are resolved and support/break-glass, migration recovery, incident containment, dashboards, and security/privacy sign-off are exercised and recorded.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17.2 Rollback</w:t>
      </w:r>
    </w:p>
    <w:p>
      <w:r>
        <w:rPr>
          <w:rFonts w:ascii="Calibri" w:hAnsi="Calibri" w:eastAsia="Calibri"/>
          <w:i w:val="0"/>
          <w:color w:val="243746"/>
        </w:rPr>
        <w:t>Rollback disables new tenant activation and affected dependent workflows, drains or quarantines in-flight work, restores the last compatible application/migration combination, revokes temporary support or migration grants, forces pool turnover, and reconciles durable operations before resumption. Irreversible database changes require an approved forward-fix plan and compatibility window; rollback never selects a fallback tenant or schema.</w:t>
      </w:r>
    </w:p>
    <w:p>
      <w:pPr>
        <w:pStyle w:val="Heading1"/>
        <w:keepNext/>
      </w:pPr>
      <w:r>
        <w:t>18. Open decisions and implementation prerequisites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950"/>
        <w:gridCol w:w="3210"/>
        <w:gridCol w:w="1700"/>
        <w:gridCol w:w="1450"/>
        <w:gridCol w:w="2050"/>
      </w:tblGrid>
      <w:tr>
        <w:trPr>
          <w:tblHeader w:val="true"/>
          <w:cantSplit/>
        </w:trPr>
        <w:tc>
          <w:tcPr>
            <w:tcW w:type="dxa" w:w="9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ID</w:t>
            </w:r>
          </w:p>
        </w:tc>
        <w:tc>
          <w:tcPr>
            <w:tcW w:type="dxa" w:w="32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Decision / confirmation</w:t>
            </w:r>
          </w:p>
        </w:tc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Owner</w:t>
            </w:r>
          </w:p>
        </w:tc>
        <w:tc>
          <w:tcPr>
            <w:tcW w:type="dxa" w:w="14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Required by</w:t>
            </w:r>
          </w:p>
        </w:tc>
        <w:tc>
          <w:tcPr>
            <w:tcW w:type="dxa" w:w="2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Design dependency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M01-OI-001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Empirical psycopg3/psycopg_pool reset, probe, cancellation, discard, and overhead evidence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Platform Engineering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release gate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Driver/pool choice is approved; measurements finalize PoolAdapter behavior.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M01-OI-002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Identity claims, capability vocabulary, trusted service context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Identity / Security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API freeze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TenantContext schema and resolver policy.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M01-OI-003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Lifecycle authorization matrix and suspension semantics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Product / Ops / Compliance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pilot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Resolver and gateway lifecycle policy.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M01-OI-004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Support workflow, retention, approvals, notice, and independent break-glass authentication fallback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Security / Privacy / Ops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support use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Grant state machine, audit retention, emergency credential custody and rotation.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M01-OI-005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Migration compatibility, canary, recovery, maintenance policy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Platform / SRE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production migration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Version gate and orchestrator policy.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M01-OI-006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SLOs, fairness objectives, measured thresholds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Product / SRE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readiness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Timeouts, pool/queue bounds, alerts.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M01-OI-007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Replace the 50-tenant planning trigger using measured catalog, migration, pool, and noisy-neighbor signals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Architecture / Security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GA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Revisit per-tenant roles, RLS, or database isolation; GUC-driven RLS is not a trusted boundary.</w:t>
            </w:r>
          </w:p>
        </w:tc>
      </w:tr>
      <w:tr>
        <w:trPr>
          <w:cantSplit/>
        </w:trPr>
        <w:tc>
          <w:tcPr>
            <w:tcW w:type="dxa" w:w="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M01-OI-008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Canonical shared tables and names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Data Architecture / Security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Before schema freeze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DDL, manifests, migrations, dashboards.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19. Requirement traceability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Ind w:w="120" w:type="dxa"/>
      </w:tblPr>
      <w:tblGrid>
        <w:gridCol w:w="1250"/>
        <w:gridCol w:w="4890"/>
        <w:gridCol w:w="3220"/>
      </w:tblGrid>
      <w:tr>
        <w:trPr>
          <w:tblHeader w:val="true"/>
          <w:cantSplit/>
        </w:trPr>
        <w:tc>
          <w:tcPr>
            <w:tcW w:type="dxa" w:w="12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Requirement</w:t>
            </w:r>
          </w:p>
        </w:tc>
        <w:tc>
          <w:tcPr>
            <w:tcW w:type="dxa" w:w="489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Design coverage</w:t>
            </w:r>
          </w:p>
        </w:tc>
        <w:tc>
          <w:tcPr>
            <w:tcW w:type="dxa" w:w="32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color w:val="16324F"/>
                <w:sz w:val="15"/>
              </w:rPr>
              <w:t>Primary evidence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FR-001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TenantResolver; shared.tenants constraints; gateway revalidation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Registry unit/integration and mismatch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FR-002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Lifecycle policy and state history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State matrix negative tests; audited transitions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FR-003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TenantContext contract and validator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Malformed/expired/inconsistent context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FR-004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Trusted propagation and async re-resolution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Forged route/header/job/schema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FR-005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Gateway context identity invariant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Mid-transaction tenant-change rejection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FR-006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M01 gateways; scoped repository handle; static controls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Direct-pool and no-context CI checks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FR-007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BEGIN; safe SET LOCAL; path verification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Transaction-scope and rollback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FR-008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Exclude public; restrict CREATE; verify path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Object-shadowing database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FR-009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Callback transaction, tenant-local evidence, and access-audit outbox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Fault injection at write and outbox boundaries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FR-010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PoolAdapter baseline and reset/discard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Alternating-tenant physical-connection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FR-011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Prohibited session state and adapter contract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Static and prepared-state cleanup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FR-012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Shared schema model and classification manifest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CI classification gate and privacy review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FR-013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Distinct identities, roles, ownership, grants manifest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Grant inspection and prohibited-action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FR-014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Support grant state machine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Expired/unapproved/mismatched request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FR-015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Restricted global audit plus tenant outbox projection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Grant denial, projection, reconciliation, immutability, and retention evidence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FR-016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Break-glass controls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Expiry, alert, and retrospective exercise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FR-017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Provisioning workflow and activation gates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Partial failure resume/rollback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FR-018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Migration ledger/orchestrator and version gate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Drift, canary, failure/resume, recovery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FR-019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Lifecycle operations and tombstone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Suspension/decommission and approval evidence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FR-020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Tenant-bound jobs, caches, locks, idempotency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Same identifiers across tenants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FR-021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Internal error taxonomy; external sanitization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Non-enumerability and log review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FR-022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Correlation and structured PHI-safe telemetry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End-to-end operation investigation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FR-023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Release-blocking isolation suite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CI/pre-production security/privacy gate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FR-024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50-tenant planning trigger plus measured operative signals and OI-007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Owned review after trigger; evidence-based threshold update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NFR-001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Fail-closed dependency behavior and safe retry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Dependency outage/recovery exercises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NFR-002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Separated setup latency metrics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Production-like performance baseline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NFR-003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Transaction locality and immutable context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Parallelism, failover, saturation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NFR-004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Metrics and audit signal catalog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Dashboard/metric verification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NFR-005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Severity model and incident containment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Suspected/verified isolation exercise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NFR-006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Durable recovery with new context/transaction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AFBFC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Restart/retry/indeterminate commit tests</w:t>
            </w:r>
          </w:p>
        </w:tc>
      </w:tr>
      <w:tr>
        <w:trPr>
          <w:cantSplit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color w:val="243746"/>
                <w:sz w:val="15"/>
              </w:rPr>
              <w:t>NFR-007</w:t>
            </w:r>
          </w:p>
        </w:tc>
        <w:tc>
          <w:tcPr>
            <w:tcW w:type="dxa" w:w="489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Per-tenant limits/backpressure/timeouts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color w:val="243746"/>
                <w:sz w:val="15"/>
              </w:rPr>
              <w:t>Noisy-neighbor peer-objective test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A. Repository and implementation controls</w:t>
      </w:r>
    </w:p>
    <w:p>
      <w:pPr>
        <w:pStyle w:val="ListBullet"/>
        <w:keepLines/>
      </w:pPr>
      <w:r>
        <w:t>The M01 package is the only code owner for pool construction, PoolAdapter, identifier quoting, M01ControlStore, TenantResolver, and TenantTransactionGateway.</w:t>
      </w:r>
    </w:p>
    <w:p>
      <w:pPr>
        <w:pStyle w:val="ListBullet"/>
        <w:keepLines/>
      </w:pPr>
      <w:r>
        <w:t>A repository rule rejects imports of the PostgreSQL driver/pool outside approved infrastructure and migration/provisioning packages.</w:t>
      </w:r>
    </w:p>
    <w:p>
      <w:pPr>
        <w:pStyle w:val="ListBullet"/>
        <w:keepLines/>
      </w:pPr>
      <w:r>
        <w:t>A static rule rejects SET search_path lacking LOCAL, raw schema interpolation, caller-accessible schema parameters, and tenant-schema qualification outside approved privileged code.</w:t>
      </w:r>
    </w:p>
    <w:p>
      <w:pPr>
        <w:pStyle w:val="ListBullet"/>
        <w:keepLines/>
      </w:pPr>
      <w:r>
        <w:t>Repository APIs require TenantRepositoryHandle; constructors accepting a raw connection are not exported.</w:t>
      </w:r>
    </w:p>
    <w:p>
      <w:pPr>
        <w:pStyle w:val="ListBullet"/>
        <w:keepLines/>
      </w:pPr>
      <w:r>
        <w:t>Integration fixtures identify physical connections pseudonymously so alternating-tenant reuse can be proven without exposing credentials or PHI.</w:t>
      </w:r>
    </w:p>
    <w:p>
      <w:pPr>
        <w:pStyle w:val="ListBullet"/>
        <w:keepLines/>
      </w:pPr>
      <w:r>
        <w:t>Migrations update the shared-column classification and permissions manifests in the same change set as DDL.</w:t>
      </w:r>
    </w:p>
    <w:p>
      <w:pPr>
        <w:pStyle w:val="ListBullet"/>
        <w:keepLines/>
      </w:pPr>
      <w:r>
        <w:t>Runtime code cannot import or call the global access-audit writer; only the projector and approved control/support packages expose that capability.</w:t>
      </w:r>
    </w:p>
    <w:p>
      <w:pPr>
        <w:pStyle w:val="Heading1"/>
        <w:keepNext/>
      </w:pPr>
      <w:r>
        <w:t>Appendix B. Source basis and assumptions</w:t>
      </w:r>
    </w:p>
    <w:p>
      <w:r>
        <w:rPr>
          <w:rFonts w:ascii="Calibri" w:hAnsi="Calibri" w:eastAsia="Calibri"/>
          <w:i w:val="0"/>
          <w:color w:val="243746"/>
        </w:rPr>
        <w:t>Primary source: M01 Detailed Requirements — Tenant Context and Data Access, Approved 1.0, 26 August 2026.</w:t>
      </w:r>
    </w:p>
    <w:p>
      <w:r>
        <w:rPr>
          <w:rFonts w:ascii="Calibri" w:hAnsi="Calibri" w:eastAsia="Calibri"/>
          <w:i w:val="0"/>
          <w:color w:val="243746"/>
        </w:rPr>
        <w:t>Contextual assumptions carried forward from that source:</w:t>
      </w:r>
    </w:p>
    <w:p>
      <w:pPr>
        <w:pStyle w:val="ListBullet"/>
        <w:keepLines/>
      </w:pPr>
      <w:r>
        <w:t>Cloud SQL PostgreSQL 17 is pinned. Cloud SQL Auth Proxy supplies private transport and automatic IAM authentication; psycopg3 with psycopg_pool is the v1 driver/pool, with no external pooler.</w:t>
      </w:r>
    </w:p>
    <w:p>
      <w:pPr>
        <w:pStyle w:val="ListBullet"/>
        <w:keepLines/>
      </w:pPr>
      <w:r>
        <w:t>Tenant operational data is schema-per-tenant; shared contains only approved control infrastructure and the projected global access audit.</w:t>
      </w:r>
    </w:p>
    <w:p>
      <w:pPr>
        <w:pStyle w:val="ListBullet"/>
        <w:keepLines/>
      </w:pPr>
      <w:r>
        <w:t>The identity model supplies authenticated subject/workload identity and organization membership, while claims and capability vocabulary remain pending M01-OI-002.</w:t>
      </w:r>
    </w:p>
    <w:p>
      <w:pPr>
        <w:pStyle w:val="ListBullet"/>
        <w:keepLines/>
      </w:pPr>
      <w:r>
        <w:t>M02–M12 consume M01 context/transaction contracts and do not implement independent routing; cross-tenant analytics never uses the runtime tenant role.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770"/>
        <w:sz w:val="16"/>
      </w:rPr>
      <w:t xml:space="preserve">M01 • Draft 0.2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770"/>
        <w:sz w:val="16"/>
      </w:rPr>
      <w:t>HALOFLOW  |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i w:val="0"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 w:line="280" w:lineRule="auto"/>
      <w:ind w:left="1080" w:hanging="360"/>
      <w:contextualSpacing/>
    </w:pPr>
    <w:rPr>
      <w:rFonts w:ascii="Calibri" w:hAnsi="Calibri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 w:line="240" w:lineRule="auto"/>
      <w:ind w:left="259" w:right="259"/>
    </w:pPr>
    <w:rPr>
      <w:rFonts w:ascii="Consolas" w:hAnsi="Consolas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M01 Technical Design — Tenant Context and Data Access</dc:title>
  <dc:subject>HaloFlow Medical Solution</dc:subject>
  <dc:creator>HaloFlow</dc:creator>
  <cp:keywords/>
  <dc:description>Draft 0.2; incorporates approved design review comments v0.2 and M01 Detailed Requirements, Approved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