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pPr>
      <w:r>
        <w:rPr>
          <w:rFonts w:ascii="Calibri" w:hAnsi="Calibri" w:eastAsia="Calibri"/>
          <w:b/>
          <w:color w:val="2E74B5"/>
          <w:sz w:val="20"/>
        </w:rPr>
        <w:t>M02  •  TECHNICAL DESIGN DOCUMENT</w:t>
      </w:r>
    </w:p>
    <w:p>
      <w:pPr>
        <w:pStyle w:val="Title"/>
      </w:pPr>
      <w:r>
        <w:t>Event and Operation Foundation</w:t>
      </w:r>
    </w:p>
    <w:p>
      <w:pPr>
        <w:pStyle w:val="Subtitle"/>
      </w:pPr>
      <w:r>
        <w:t>Durable identity, immutable evidence, deterministic projection, and recovery contracts</w:t>
      </w:r>
    </w:p>
    <w:p>
      <w:pPr>
        <w:spacing w:after="40"/>
      </w:pPr>
      <w:r>
        <w:rPr>
          <w:rFonts w:ascii="Calibri" w:hAnsi="Calibri" w:eastAsia="Calibri"/>
          <w:b/>
          <w:color w:val="16324F"/>
          <w:sz w:val="21"/>
        </w:rPr>
        <w:t xml:space="preserve">Product: </w:t>
      </w:r>
      <w:r>
        <w:rPr>
          <w:rFonts w:ascii="Calibri" w:hAnsi="Calibri" w:eastAsia="Calibri"/>
          <w:color w:val="243746"/>
          <w:sz w:val="21"/>
        </w:rPr>
        <w:t>HaloFlow Medical Solution</w:t>
      </w:r>
    </w:p>
    <w:p>
      <w:pPr>
        <w:spacing w:after="40"/>
      </w:pPr>
      <w:r>
        <w:rPr>
          <w:rFonts w:ascii="Calibri" w:hAnsi="Calibri" w:eastAsia="Calibri"/>
          <w:b/>
          <w:color w:val="16324F"/>
          <w:sz w:val="21"/>
        </w:rPr>
        <w:t xml:space="preserve">Status: </w:t>
      </w:r>
      <w:r>
        <w:rPr>
          <w:rFonts w:ascii="Calibri" w:hAnsi="Calibri" w:eastAsia="Calibri"/>
          <w:color w:val="243746"/>
          <w:sz w:val="21"/>
        </w:rPr>
        <w:t>Approved design baseline — implementation and production-readiness gates remain</w:t>
      </w:r>
    </w:p>
    <w:p>
      <w:pPr>
        <w:spacing w:after="40"/>
      </w:pPr>
      <w:r>
        <w:rPr>
          <w:rFonts w:ascii="Calibri" w:hAnsi="Calibri" w:eastAsia="Calibri"/>
          <w:b/>
          <w:color w:val="16324F"/>
          <w:sz w:val="21"/>
        </w:rPr>
        <w:t xml:space="preserve">Version / date: </w:t>
      </w:r>
      <w:r>
        <w:rPr>
          <w:rFonts w:ascii="Calibri" w:hAnsi="Calibri" w:eastAsia="Calibri"/>
          <w:color w:val="243746"/>
          <w:sz w:val="21"/>
        </w:rPr>
        <w:t>0.3  •  30 August 2026</w:t>
      </w:r>
    </w:p>
    <w:p>
      <w:pPr>
        <w:spacing w:after="40"/>
      </w:pPr>
      <w:r>
        <w:rPr>
          <w:rFonts w:ascii="Calibri" w:hAnsi="Calibri" w:eastAsia="Calibri"/>
          <w:b/>
          <w:color w:val="16324F"/>
          <w:sz w:val="21"/>
        </w:rPr>
        <w:t xml:space="preserve">Requirements basis: </w:t>
      </w:r>
      <w:r>
        <w:rPr>
          <w:rFonts w:ascii="Calibri" w:hAnsi="Calibri" w:eastAsia="Calibri"/>
          <w:color w:val="243746"/>
          <w:sz w:val="21"/>
        </w:rPr>
        <w:t>M02 Detailed Requirements — Event and Operation Foundation, Approved 1.0</w:t>
      </w:r>
    </w:p>
    <w:p>
      <w:pPr>
        <w:spacing w:after="40"/>
      </w:pPr>
      <w:r>
        <w:rPr>
          <w:rFonts w:ascii="Calibri" w:hAnsi="Calibri" w:eastAsia="Calibri"/>
          <w:b/>
          <w:color w:val="16324F"/>
          <w:sz w:val="21"/>
        </w:rPr>
        <w:t xml:space="preserve">Primary dependency: </w:t>
      </w:r>
      <w:r>
        <w:rPr>
          <w:rFonts w:ascii="Calibri" w:hAnsi="Calibri" w:eastAsia="Calibri"/>
          <w:color w:val="243746"/>
          <w:sz w:val="21"/>
        </w:rPr>
        <w:t>M01 Technical Design — Tenant Context and Data Access, Draft 0.2</w:t>
      </w:r>
    </w:p>
    <w:p>
      <w:pPr>
        <w:spacing w:after="40"/>
      </w:pPr>
      <w:r>
        <w:rPr>
          <w:rFonts w:ascii="Calibri" w:hAnsi="Calibri" w:eastAsia="Calibri"/>
          <w:b/>
          <w:color w:val="16324F"/>
          <w:sz w:val="21"/>
        </w:rPr>
        <w:t xml:space="preserve">Downstream contracts: </w:t>
      </w:r>
      <w:r>
        <w:rPr>
          <w:rFonts w:ascii="Calibri" w:hAnsi="Calibri" w:eastAsia="Calibri"/>
          <w:color w:val="243746"/>
          <w:sz w:val="21"/>
        </w:rPr>
        <w:t>M03, M05, M06, M09, M11, M12; event consumers across M07–M10</w:t>
      </w:r>
    </w:p>
    <w:p>
      <w:pPr>
        <w:spacing w:after="40"/>
      </w:pPr>
      <w:r>
        <w:rPr>
          <w:rFonts w:ascii="Calibri" w:hAnsi="Calibri" w:eastAsia="Calibri"/>
          <w:b/>
          <w:color w:val="16324F"/>
          <w:sz w:val="21"/>
        </w:rPr>
        <w:t xml:space="preserve">Design owner: </w:t>
      </w:r>
      <w:r>
        <w:rPr>
          <w:rFonts w:ascii="Calibri" w:hAnsi="Calibri" w:eastAsia="Calibri"/>
          <w:color w:val="243746"/>
          <w:sz w:val="21"/>
        </w:rPr>
        <w:t>Platform Engineering (assignment to be confirmed)</w:t>
      </w:r>
    </w:p>
    <w:p>
      <w:pPr>
        <w:spacing w:before="100" w:after="180" w:line="259" w:lineRule="auto"/>
        <w:ind w:left="173" w:right="173"/>
        <w:shd w:fill="E8EEF5"/>
        <w:pBdr>
          <w:left w:val="single" w:sz="18" w:space="8" w:color="16324F"/>
        </w:pBdr>
        <w:keepLines/>
      </w:pPr>
      <w:r>
        <w:rPr>
          <w:rFonts w:ascii="Calibri" w:hAnsi="Calibri" w:eastAsia="Calibri"/>
          <w:b/>
          <w:color w:val="16324F"/>
        </w:rPr>
        <w:t xml:space="preserve">Approval status. </w:t>
      </w:r>
      <w:r>
        <w:rPr>
          <w:rFonts w:ascii="Calibri" w:hAnsi="Calibri" w:eastAsia="Calibri"/>
          <w:color w:val="243746"/>
        </w:rPr>
        <w:t>Approved as the M02 implementation design baseline. This revision closes review findings T1-T8 and V1-V5 without granting raw runtime table mutation. Schema freeze still requires ADR-011 and the named content gates; pilot and production remain subject to provider, retention, service-objective, recovery, and operational-readiness evidence.</w:t>
      </w:r>
    </w:p>
    <w:p>
      <w:pPr>
        <w:spacing w:after="40" w:before="160"/>
      </w:pPr>
      <w:r>
        <w:rPr>
          <w:rFonts w:ascii="Calibri" w:hAnsi="Calibri" w:eastAsia="Calibri"/>
          <w:b/>
          <w:color w:val="2E74B5"/>
        </w:rPr>
        <w:t>Document purpose</w:t>
      </w:r>
      <w:r>
        <w:rPr>
          <w:rFonts w:ascii="Calibri" w:hAnsi="Calibri" w:eastAsia="Calibri"/>
          <w:i w:val="0"/>
          <w:color w:val="2E74B5"/>
        </w:rPr>
      </w:r>
    </w:p>
    <w:p>
      <w:pPr>
        <w:spacing w:after="160"/>
      </w:pPr>
      <w:r>
        <w:rPr>
          <w:rFonts w:ascii="Calibri" w:hAnsi="Calibri" w:eastAsia="Calibri"/>
          <w:i w:val="0"/>
          <w:color w:val="243746"/>
        </w:rPr>
        <w:t>Translate the approved M02 requirements into implementable components, schemas, APIs, transaction boundaries, projection rules, handoff mechanics, security controls, failure behavior, observability, rollout steps, and verification evidence. The approved M02 requirement controls if this design conflicts with it.</w:t>
      </w:r>
    </w:p>
    <w:p>
      <w:r>
        <w:br w:type="page"/>
      </w:r>
    </w:p>
    <w:p>
      <w:pPr>
        <w:pStyle w:val="Heading1"/>
        <w:keepNext/>
      </w:pPr>
      <w:r>
        <w:t>Executive summary</w:t>
      </w:r>
    </w:p>
    <w:p>
      <w:r>
        <w:rPr>
          <w:rFonts w:ascii="Calibri" w:hAnsi="Calibri" w:eastAsia="Calibri"/>
          <w:i w:val="0"/>
          <w:color w:val="243746"/>
        </w:rPr>
        <w:t>M02 provides one tenant-aware foundation for every externally visible side effect and material inbound observation. An owning workflow first acquires a stable operation_id and commits an immutable requested event through the M01 tenant transaction gateway. Only then may it call a provider. Submission, delivery, business outcome, observation, conflict, correction, and manual-resolution facts are appended separately; historical evidence is never updated or deleted by runtime identities.</w:t>
      </w:r>
    </w:p>
    <w:p>
      <w:r>
        <w:rPr>
          <w:rFonts w:ascii="Calibri" w:hAnsi="Calibri" w:eastAsia="Calibri"/>
          <w:i w:val="0"/>
          <w:color w:val="243746"/>
        </w:rPr>
        <w:t>The design separates evidence from coordination. Tenant-local patient_events and related immutable records are authoritative. A versioned ProjectionEngine derives current state and maintains a rebuildable cache for bounded bulk reads. Tenant-local handoff outbox records make M05 work, M06 reconciliation, and M11 signals crash durable; dedicated dispatchers deliver them at least once using deterministic tenant-scoped keys.</w:t>
      </w:r>
    </w:p>
    <w:p>
      <w:pPr>
        <w:spacing w:before="100" w:after="180" w:line="259" w:lineRule="auto"/>
        <w:ind w:left="173" w:right="173"/>
        <w:shd w:fill="E7F3EA"/>
        <w:pBdr>
          <w:left w:val="single" w:sz="18" w:space="8" w:color="1F5A35"/>
        </w:pBdr>
        <w:keepLines/>
      </w:pPr>
      <w:r>
        <w:rPr>
          <w:rFonts w:ascii="Calibri" w:hAnsi="Calibri" w:eastAsia="Calibri"/>
          <w:b/>
          <w:color w:val="1F5A35"/>
        </w:rPr>
        <w:t xml:space="preserve">Recommended baseline. </w:t>
      </w:r>
      <w:r>
        <w:rPr>
          <w:rFonts w:ascii="Calibri" w:hAnsi="Calibri" w:eastAsia="Calibri"/>
          <w:color w:val="243746"/>
        </w:rPr>
        <w:t>Use a hybrid projection: compute with one pure, versioned algorithm; update the cache in the same tenant transaction as each append; rebuild from immutable events when the version changes or cache integrity is uncertain. The cache never becomes evidence and never permits external replay.</w:t>
      </w:r>
    </w:p>
    <w:p>
      <w:pPr>
        <w:pStyle w:val="Heading1"/>
        <w:keepNext/>
      </w:pPr>
      <w:r>
        <w:t>1. Goals, non-goals, and constraints</w:t>
      </w:r>
    </w:p>
    <w:p>
      <w:pPr>
        <w:pStyle w:val="Heading2"/>
        <w:keepNext/>
      </w:pPr>
      <w:r>
        <w:t>1.1 Goals</w:t>
      </w:r>
    </w:p>
    <w:p>
      <w:pPr>
        <w:pStyle w:val="ListBullet"/>
        <w:keepLines/>
      </w:pPr>
      <w:r>
        <w:t>Guarantee one stable operation_id across retries, restart, deployment, reconciliation, and worker takeover.</w:t>
      </w:r>
    </w:p>
    <w:p>
      <w:pPr>
        <w:pStyle w:val="ListBullet"/>
        <w:keepLines/>
      </w:pPr>
      <w:r>
        <w:t>Prevent an external side effect unless durable intent has committed in the authorized tenant transaction.</w:t>
      </w:r>
    </w:p>
    <w:p>
      <w:pPr>
        <w:pStyle w:val="ListBullet"/>
        <w:keepLines/>
      </w:pPr>
      <w:r>
        <w:t>Retain every distinct verified fact while collapsing equivalent duplicate processing.</w:t>
      </w:r>
    </w:p>
    <w:p>
      <w:pPr>
        <w:pStyle w:val="ListBullet"/>
        <w:keepLines/>
      </w:pPr>
      <w:r>
        <w:t>Derive one explainable current state deterministically from immutable events, including corrections and conflicts.</w:t>
      </w:r>
    </w:p>
    <w:p>
      <w:pPr>
        <w:pStyle w:val="ListBullet"/>
        <w:keepLines/>
      </w:pPr>
      <w:r>
        <w:t>Provide crash-durable, idempotent M05/M06/M11 handoffs without cross-schema foreign-key fiction.</w:t>
      </w:r>
    </w:p>
    <w:p>
      <w:pPr>
        <w:pStyle w:val="ListBullet"/>
        <w:keepLines/>
      </w:pPr>
      <w:r>
        <w:t>Keep event metadata, central telemetry, replay, and privileged actions tenant-safe and minimum necessary.</w:t>
      </w:r>
    </w:p>
    <w:p>
      <w:pPr>
        <w:pStyle w:val="ListBullet"/>
        <w:keepLines/>
      </w:pPr>
      <w:r>
        <w:t>Give M03–M12 stable contracts that can roll forward without reinterpreting historical evidence.</w:t>
      </w:r>
    </w:p>
    <w:p>
      <w:pPr>
        <w:pStyle w:val="Heading2"/>
        <w:keepNext/>
      </w:pPr>
      <w:r>
        <w:t>1.2 Non-goals</w:t>
      </w:r>
    </w:p>
    <w:p>
      <w:pPr>
        <w:pStyle w:val="ListBullet"/>
        <w:keepLines/>
      </w:pPr>
      <w:r>
        <w:t>Implementing webhook verification, provider routing, queue state machines, batch scheduling, or clinic-facing UI.</w:t>
      </w:r>
    </w:p>
    <w:p>
      <w:pPr>
        <w:pStyle w:val="ListBullet"/>
        <w:keepLines/>
      </w:pPr>
      <w:r>
        <w:t>Using an event broker or Cloud Logging as the authoritative clinical/audit event store.</w:t>
      </w:r>
    </w:p>
    <w:p>
      <w:pPr>
        <w:pStyle w:val="ListBullet"/>
        <w:keepLines/>
      </w:pPr>
      <w:r>
        <w:t>Providing general cross-tenant event queries through runtime credentials.</w:t>
      </w:r>
    </w:p>
    <w:p>
      <w:pPr>
        <w:pStyle w:val="ListBullet"/>
        <w:keepLines/>
      </w:pPr>
      <w:r>
        <w:t>Automatically resending an operation whose external outcome is indeterminate.</w:t>
      </w:r>
    </w:p>
    <w:p>
      <w:pPr>
        <w:pStyle w:val="ListBullet"/>
        <w:keepLines/>
      </w:pPr>
      <w:r>
        <w:t>Storing raw provider payloads, message bodies, unrestricted free text, or clinical data in generic event metadata.</w:t>
      </w:r>
    </w:p>
    <w:p>
      <w:pPr>
        <w:pStyle w:val="ListBullet"/>
        <w:keepLines/>
      </w:pPr>
      <w:r>
        <w:t>Treating append_sequence as commit order, a global cursor, or an incremental replay watermark.</w:t>
      </w:r>
    </w:p>
    <w:p>
      <w:pPr>
        <w:pStyle w:val="Heading2"/>
        <w:keepNext/>
      </w:pPr>
      <w:r>
        <w:t>1.3 Hard constraints</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2500"/>
        <w:gridCol w:w="6860"/>
      </w:tblGrid>
      <w:tr>
        <w:trPr>
          <w:tblHeader w:val="true"/>
          <w:cantSplit/>
        </w:trPr>
        <w:tc>
          <w:tcPr>
            <w:tcW w:type="dxa" w:w="250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8"/>
              </w:rPr>
              <w:t>Constraint</w:t>
            </w:r>
          </w:p>
        </w:tc>
        <w:tc>
          <w:tcPr>
            <w:tcW w:type="dxa" w:w="686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8"/>
              </w:rPr>
              <w:t>Design consequence</w:t>
            </w:r>
          </w:p>
        </w:tc>
      </w:tr>
      <w:tr>
        <w:trPr>
          <w:cantSplit/>
        </w:trPr>
        <w:tc>
          <w:tcPr>
            <w:tcW w:type="dxa" w:w="2500"/>
            <w:tcMar>
              <w:top w:w="100" w:type="dxa"/>
              <w:start w:w="120" w:type="dxa"/>
              <w:bottom w:w="100" w:type="dxa"/>
              <w:end w:w="120" w:type="dxa"/>
            </w:tcMar>
            <w:vAlign w:val="center"/>
          </w:tcPr>
          <w:p>
            <w:pPr>
              <w:spacing w:after="0" w:line="259" w:lineRule="auto"/>
            </w:pPr>
            <w:r>
              <w:rPr>
                <w:rFonts w:ascii="Calibri" w:hAnsi="Calibri" w:eastAsia="Calibri"/>
                <w:b/>
                <w:color w:val="243746"/>
                <w:sz w:val="18"/>
              </w:rPr>
              <w:t>M01 tenant boundary</w:t>
            </w:r>
          </w:p>
        </w:tc>
        <w:tc>
          <w:tcPr>
            <w:tcW w:type="dxa" w:w="6860"/>
            <w:tcMar>
              <w:top w:w="100" w:type="dxa"/>
              <w:start w:w="120" w:type="dxa"/>
              <w:bottom w:w="100" w:type="dxa"/>
              <w:end w:w="120" w:type="dxa"/>
            </w:tcMar>
            <w:vAlign w:val="center"/>
          </w:tcPr>
          <w:p>
            <w:pPr>
              <w:spacing w:after="0" w:line="259" w:lineRule="auto"/>
            </w:pPr>
            <w:r>
              <w:rPr>
                <w:rFonts w:ascii="Calibri" w:hAnsi="Calibri" w:eastAsia="Calibri"/>
                <w:b w:val="0"/>
                <w:color w:val="243746"/>
                <w:sz w:val="18"/>
              </w:rPr>
              <w:t>Every append, projection, timeline, and correction uses TenantContext and TenantTransactionGateway; repositories never accept schema names.</w:t>
            </w:r>
          </w:p>
        </w:tc>
      </w:tr>
      <w:tr>
        <w:trPr>
          <w:cantSplit/>
        </w:trPr>
        <w:tc>
          <w:tcPr>
            <w:tcW w:type="dxa" w:w="250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8"/>
              </w:rPr>
              <w:t>Append-only authority</w:t>
            </w:r>
          </w:p>
        </w:tc>
        <w:tc>
          <w:tcPr>
            <w:tcW w:type="dxa" w:w="68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8"/>
              </w:rPr>
              <w:t>Runtime executes approved procedures and may read authorized views; it has no raw evidence-table mutation grants.</w:t>
            </w:r>
          </w:p>
        </w:tc>
      </w:tr>
      <w:tr>
        <w:trPr>
          <w:cantSplit/>
        </w:trPr>
        <w:tc>
          <w:tcPr>
            <w:tcW w:type="dxa" w:w="2500"/>
            <w:tcMar>
              <w:top w:w="100" w:type="dxa"/>
              <w:start w:w="120" w:type="dxa"/>
              <w:bottom w:w="100" w:type="dxa"/>
              <w:end w:w="120" w:type="dxa"/>
            </w:tcMar>
            <w:vAlign w:val="center"/>
          </w:tcPr>
          <w:p>
            <w:pPr>
              <w:spacing w:after="0" w:line="259" w:lineRule="auto"/>
            </w:pPr>
            <w:r>
              <w:rPr>
                <w:rFonts w:ascii="Calibri" w:hAnsi="Calibri" w:eastAsia="Calibri"/>
                <w:b/>
                <w:color w:val="243746"/>
                <w:sz w:val="18"/>
              </w:rPr>
              <w:t>Intent before action</w:t>
            </w:r>
          </w:p>
        </w:tc>
        <w:tc>
          <w:tcPr>
            <w:tcW w:type="dxa" w:w="6860"/>
            <w:tcMar>
              <w:top w:w="100" w:type="dxa"/>
              <w:start w:w="120" w:type="dxa"/>
              <w:bottom w:w="100" w:type="dxa"/>
              <w:end w:w="120" w:type="dxa"/>
            </w:tcMar>
            <w:vAlign w:val="center"/>
          </w:tcPr>
          <w:p>
            <w:pPr>
              <w:spacing w:after="0" w:line="259" w:lineRule="auto"/>
            </w:pPr>
            <w:r>
              <w:rPr>
                <w:rFonts w:ascii="Calibri" w:hAnsi="Calibri" w:eastAsia="Calibri"/>
                <w:b w:val="0"/>
                <w:color w:val="243746"/>
                <w:sz w:val="18"/>
              </w:rPr>
              <w:t>beginOperation commits the stable operation and requested event before an adapter may execute.</w:t>
            </w:r>
          </w:p>
        </w:tc>
      </w:tr>
      <w:tr>
        <w:trPr>
          <w:cantSplit/>
        </w:trPr>
        <w:tc>
          <w:tcPr>
            <w:tcW w:type="dxa" w:w="250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8"/>
              </w:rPr>
              <w:t>At least once</w:t>
            </w:r>
          </w:p>
        </w:tc>
        <w:tc>
          <w:tcPr>
            <w:tcW w:type="dxa" w:w="68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8"/>
              </w:rPr>
              <w:t>Producer/dispatcher execution may repeat; deterministic keys make the effective append, case, or work item converge.</w:t>
            </w:r>
          </w:p>
        </w:tc>
      </w:tr>
      <w:tr>
        <w:trPr>
          <w:cantSplit/>
        </w:trPr>
        <w:tc>
          <w:tcPr>
            <w:tcW w:type="dxa" w:w="2500"/>
            <w:tcMar>
              <w:top w:w="100" w:type="dxa"/>
              <w:start w:w="120" w:type="dxa"/>
              <w:bottom w:w="100" w:type="dxa"/>
              <w:end w:w="120" w:type="dxa"/>
            </w:tcMar>
            <w:vAlign w:val="center"/>
          </w:tcPr>
          <w:p>
            <w:pPr>
              <w:spacing w:after="0" w:line="259" w:lineRule="auto"/>
            </w:pPr>
            <w:r>
              <w:rPr>
                <w:rFonts w:ascii="Calibri" w:hAnsi="Calibri" w:eastAsia="Calibri"/>
                <w:b/>
                <w:color w:val="243746"/>
                <w:sz w:val="18"/>
              </w:rPr>
              <w:t>Explainable projection</w:t>
            </w:r>
          </w:p>
        </w:tc>
        <w:tc>
          <w:tcPr>
            <w:tcW w:type="dxa" w:w="6860"/>
            <w:tcMar>
              <w:top w:w="100" w:type="dxa"/>
              <w:start w:w="120" w:type="dxa"/>
              <w:bottom w:w="100" w:type="dxa"/>
              <w:end w:w="120" w:type="dxa"/>
            </w:tcMar>
            <w:vAlign w:val="center"/>
          </w:tcPr>
          <w:p>
            <w:pPr>
              <w:spacing w:after="0" w:line="259" w:lineRule="auto"/>
            </w:pPr>
            <w:r>
              <w:rPr>
                <w:rFonts w:ascii="Calibri" w:hAnsi="Calibri" w:eastAsia="Calibri"/>
                <w:b w:val="0"/>
                <w:color w:val="243746"/>
                <w:sz w:val="18"/>
              </w:rPr>
              <w:t>Every state includes controlling event IDs, explanation code, algorithm version, and freshness.</w:t>
            </w:r>
          </w:p>
        </w:tc>
      </w:tr>
      <w:tr>
        <w:trPr>
          <w:cantSplit/>
        </w:trPr>
        <w:tc>
          <w:tcPr>
            <w:tcW w:type="dxa" w:w="250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8"/>
              </w:rPr>
              <w:t>Fail safe</w:t>
            </w:r>
          </w:p>
        </w:tc>
        <w:tc>
          <w:tcPr>
            <w:tcW w:type="dxa" w:w="68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8"/>
              </w:rPr>
              <w:t>Unknown contracts, invalid status scope, cross-tenant links, ambiguous precedence, or untrusted terminal evidence never project success.</w:t>
            </w:r>
          </w:p>
        </w:tc>
      </w:tr>
    </w:tbl>
    <w:p>
      <w:pPr>
        <w:spacing w:after="40"/>
      </w:pPr>
    </w:p>
    <w:p>
      <w:pPr>
        <w:pStyle w:val="Heading1"/>
        <w:keepNext/>
      </w:pPr>
      <w:r>
        <w:t>2. Architecture decisions and approval status</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800"/>
        <w:gridCol w:w="3840"/>
        <w:gridCol w:w="1650"/>
        <w:gridCol w:w="3070"/>
      </w:tblGrid>
      <w:tr>
        <w:trPr>
          <w:tblHeader w:val="true"/>
          <w:cantSplit/>
        </w:trPr>
        <w:tc>
          <w:tcPr>
            <w:tcW w:type="dxa" w:w="80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ID</w:t>
            </w:r>
          </w:p>
        </w:tc>
        <w:tc>
          <w:tcPr>
            <w:tcW w:type="dxa" w:w="384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Decision</w:t>
            </w:r>
          </w:p>
        </w:tc>
        <w:tc>
          <w:tcPr>
            <w:tcW w:type="dxa" w:w="165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Status</w:t>
            </w:r>
          </w:p>
        </w:tc>
        <w:tc>
          <w:tcPr>
            <w:tcW w:type="dxa" w:w="307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Rationale / consequence</w:t>
            </w:r>
          </w:p>
        </w:tc>
      </w:tr>
      <w:tr>
        <w:trPr>
          <w:cantSplit/>
        </w:trPr>
        <w:tc>
          <w:tcPr>
            <w:tcW w:type="dxa" w:w="8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D-01</w:t>
            </w:r>
          </w:p>
        </w:tc>
        <w:tc>
          <w:tcPr>
            <w:tcW w:type="dxa" w:w="384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Tenant-local patient_events remains the immutable source of truth</w:t>
            </w:r>
          </w:p>
        </w:tc>
        <w:tc>
          <w:tcPr>
            <w:tcW w:type="dxa" w:w="16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Required</w:t>
            </w:r>
          </w:p>
        </w:tc>
        <w:tc>
          <w:tcPr>
            <w:tcW w:type="dxa" w:w="307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Preserves M01 isolation and the approved physical table name.</w:t>
            </w:r>
          </w:p>
        </w:tc>
      </w:tr>
      <w:tr>
        <w:trPr>
          <w:cantSplit/>
        </w:trPr>
        <w:tc>
          <w:tcPr>
            <w:tcW w:type="dxa" w:w="8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D-02</w:t>
            </w:r>
          </w:p>
        </w:tc>
        <w:tc>
          <w:tcPr>
            <w:tcW w:type="dxa" w:w="384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Tenant-local operation_registry acquires stable identity and business dedupe</w:t>
            </w:r>
          </w:p>
        </w:tc>
        <w:tc>
          <w:tcPr>
            <w:tcW w:type="dxa" w:w="16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Proposed baseline</w:t>
            </w:r>
          </w:p>
        </w:tc>
        <w:tc>
          <w:tcPr>
            <w:tcW w:type="dxa" w:w="307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Uses one database-controlled active write-key version so rolling deployment cannot fork a logical operation.</w:t>
            </w:r>
          </w:p>
        </w:tc>
      </w:tr>
      <w:tr>
        <w:trPr>
          <w:cantSplit/>
        </w:trPr>
        <w:tc>
          <w:tcPr>
            <w:tcW w:type="dxa" w:w="8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D-03</w:t>
            </w:r>
          </w:p>
        </w:tc>
        <w:tc>
          <w:tcPr>
            <w:tcW w:type="dxa" w:w="384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Six event levels: intent, submission, delivery, business_outcome, observation, correction</w:t>
            </w:r>
          </w:p>
        </w:tc>
        <w:tc>
          <w:tcPr>
            <w:tcW w:type="dxa" w:w="16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Proposed for ADR-011</w:t>
            </w:r>
          </w:p>
        </w:tc>
        <w:tc>
          <w:tcPr>
            <w:tcW w:type="dxa" w:w="307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Keeps three-stage side effects while representing non-side-effect facts explicitly.</w:t>
            </w:r>
          </w:p>
        </w:tc>
      </w:tr>
      <w:tr>
        <w:trPr>
          <w:cantSplit/>
        </w:trPr>
        <w:tc>
          <w:tcPr>
            <w:tcW w:type="dxa" w:w="8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D-04</w:t>
            </w:r>
          </w:p>
        </w:tc>
        <w:tc>
          <w:tcPr>
            <w:tcW w:type="dxa" w:w="384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Hybrid projection: pure engine plus transactionally refreshed, rebuildable cache</w:t>
            </w:r>
          </w:p>
        </w:tc>
        <w:tc>
          <w:tcPr>
            <w:tcW w:type="dxa" w:w="16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Proposed baseline</w:t>
            </w:r>
          </w:p>
        </w:tc>
        <w:tc>
          <w:tcPr>
            <w:tcW w:type="dxa" w:w="307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Serializes per-operation appends before folding the complete event set; derived state remains non-authoritative.</w:t>
            </w:r>
          </w:p>
        </w:tc>
      </w:tr>
      <w:tr>
        <w:trPr>
          <w:cantSplit/>
        </w:trPr>
        <w:tc>
          <w:tcPr>
            <w:tcW w:type="dxa" w:w="8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D-05</w:t>
            </w:r>
          </w:p>
        </w:tc>
        <w:tc>
          <w:tcPr>
            <w:tcW w:type="dxa" w:w="384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Tenant-local event_handoff_outbox for M05/M06/M11</w:t>
            </w:r>
          </w:p>
        </w:tc>
        <w:tc>
          <w:tcPr>
            <w:tcW w:type="dxa" w:w="16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Proposed baseline</w:t>
            </w:r>
          </w:p>
        </w:tc>
        <w:tc>
          <w:tcPr>
            <w:tcW w:type="dxa" w:w="307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Avoids dual-write gaps and enforces at-least-once convergence.</w:t>
            </w:r>
          </w:p>
        </w:tc>
      </w:tr>
      <w:tr>
        <w:trPr>
          <w:cantSplit/>
        </w:trPr>
        <w:tc>
          <w:tcPr>
            <w:tcW w:type="dxa" w:w="8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D-06</w:t>
            </w:r>
          </w:p>
        </w:tc>
        <w:tc>
          <w:tcPr>
            <w:tcW w:type="dxa" w:w="384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Two explicit producer dedupe forms plus event_id retry</w:t>
            </w:r>
          </w:p>
        </w:tc>
        <w:tc>
          <w:tcPr>
            <w:tcW w:type="dxa" w:w="16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Proposed baseline</w:t>
            </w:r>
          </w:p>
        </w:tc>
        <w:tc>
          <w:tcPr>
            <w:tcW w:type="dxa" w:w="307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Collapses equivalent retries while retaining independently sourced conflicts.</w:t>
            </w:r>
          </w:p>
        </w:tc>
      </w:tr>
      <w:tr>
        <w:trPr>
          <w:cantSplit/>
        </w:trPr>
        <w:tc>
          <w:tcPr>
            <w:tcW w:type="dxa" w:w="8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D-07</w:t>
            </w:r>
          </w:p>
        </w:tc>
        <w:tc>
          <w:tcPr>
            <w:tcW w:type="dxa" w:w="384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Canonical acceptance binding is separate from event evidence</w:t>
            </w:r>
          </w:p>
        </w:tc>
        <w:tc>
          <w:tcPr>
            <w:tcW w:type="dxa" w:w="16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Proposed baseline</w:t>
            </w:r>
          </w:p>
        </w:tc>
        <w:tc>
          <w:tcPr>
            <w:tcW w:type="dxa" w:w="307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PK(operation_id) always applies; cross-operation provider identity uniqueness is enforced only by a declared capability scope.</w:t>
            </w:r>
          </w:p>
        </w:tc>
      </w:tr>
      <w:tr>
        <w:trPr>
          <w:cantSplit/>
        </w:trPr>
        <w:tc>
          <w:tcPr>
            <w:tcW w:type="dxa" w:w="8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D-08</w:t>
            </w:r>
          </w:p>
        </w:tc>
        <w:tc>
          <w:tcPr>
            <w:tcW w:type="dxa" w:w="384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Reference codes and contract descriptors are shared control data; no PostgreSQL ENUM</w:t>
            </w:r>
          </w:p>
        </w:tc>
        <w:tc>
          <w:tcPr>
            <w:tcW w:type="dxa" w:w="16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Required</w:t>
            </w:r>
          </w:p>
        </w:tc>
        <w:tc>
          <w:tcPr>
            <w:tcW w:type="dxa" w:w="307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Allows additive rollout, retirement, validation, and compatibility checks.</w:t>
            </w:r>
          </w:p>
        </w:tc>
      </w:tr>
      <w:tr>
        <w:trPr>
          <w:cantSplit/>
        </w:trPr>
        <w:tc>
          <w:tcPr>
            <w:tcW w:type="dxa" w:w="8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D-09</w:t>
            </w:r>
          </w:p>
        </w:tc>
        <w:tc>
          <w:tcPr>
            <w:tcW w:type="dxa" w:w="384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No cryptographic hash chain in v1</w:t>
            </w:r>
          </w:p>
        </w:tc>
        <w:tc>
          <w:tcPr>
            <w:tcW w:type="dxa" w:w="16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Approved v1 baseline</w:t>
            </w:r>
          </w:p>
        </w:tc>
        <w:tc>
          <w:tcPr>
            <w:tcW w:type="dxa" w:w="307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Use append-only grants, database audit, PITR, retention-locked signed exports, and integrity reconciliation; revisit if policy requires cryptographic continuity.</w:t>
            </w:r>
          </w:p>
        </w:tc>
      </w:tr>
      <w:tr>
        <w:trPr>
          <w:cantSplit/>
        </w:trPr>
        <w:tc>
          <w:tcPr>
            <w:tcW w:type="dxa" w:w="8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D-10</w:t>
            </w:r>
          </w:p>
        </w:tc>
        <w:tc>
          <w:tcPr>
            <w:tcW w:type="dxa" w:w="384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Pilot replay restarts one declared bounded tenant/range</w:t>
            </w:r>
          </w:p>
        </w:tc>
        <w:tc>
          <w:tcPr>
            <w:tcW w:type="dxa" w:w="16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Required baseline</w:t>
            </w:r>
          </w:p>
        </w:tc>
        <w:tc>
          <w:tcPr>
            <w:tcW w:type="dxa" w:w="307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append_sequence orders a complete set but is not safe as a resume watermark.</w:t>
            </w:r>
          </w:p>
        </w:tc>
      </w:tr>
    </w:tbl>
    <w:p>
      <w:pPr>
        <w:spacing w:after="40"/>
      </w:pPr>
    </w:p>
    <w:p>
      <w:pPr>
        <w:spacing w:before="100" w:after="180" w:line="259" w:lineRule="auto"/>
        <w:ind w:left="173" w:right="173"/>
        <w:shd w:fill="FFF3CD"/>
        <w:pBdr>
          <w:left w:val="single" w:sz="18" w:space="8" w:color="7A5A00"/>
        </w:pBdr>
        <w:keepLines/>
      </w:pPr>
      <w:r>
        <w:rPr>
          <w:rFonts w:ascii="Calibri" w:hAnsi="Calibri" w:eastAsia="Calibri"/>
          <w:b/>
          <w:color w:val="7A5A00"/>
        </w:rPr>
        <w:t xml:space="preserve">Decision boundary. </w:t>
      </w:r>
      <w:r>
        <w:rPr>
          <w:rFonts w:ascii="Calibri" w:hAnsi="Calibri" w:eastAsia="Calibri"/>
          <w:color w:val="243746"/>
        </w:rPr>
        <w:t>D-02 through D-07 are implementation decisions in this approved baseline and must be incorporated into ADR-011 or an equivalent approved architecture record before schema freeze. D-09 is approved for the v1 baseline with retention-locked signed exports and must be revalidated before pilot if policy changes.</w:t>
      </w:r>
    </w:p>
    <w:p>
      <w:pPr>
        <w:pStyle w:val="Heading1"/>
        <w:keepNext/>
      </w:pPr>
      <w:r>
        <w:t>3. System context and component ownership</w:t>
      </w:r>
    </w:p>
    <w:p>
      <w:pPr>
        <w:spacing w:before="80" w:after="40"/>
        <w:jc w:val="center"/>
        <w:keepNext/>
      </w:pPr>
      <w:r>
        <w:drawing>
          <wp:inline xmlns:a="http://schemas.openxmlformats.org/drawingml/2006/main" xmlns:pic="http://schemas.openxmlformats.org/drawingml/2006/picture">
            <wp:extent cx="5806440" cy="3606105"/>
            <wp:docPr id="1" name="Picture 1" title="Figure 1. M02 component architecture and authority boundaries" descr="Figure 1. M02 component architecture and authority boundaries"/>
            <wp:cNvGraphicFramePr>
              <a:graphicFrameLocks noChangeAspect="1"/>
            </wp:cNvGraphicFramePr>
            <a:graphic>
              <a:graphicData uri="http://schemas.openxmlformats.org/drawingml/2006/picture">
                <pic:pic>
                  <pic:nvPicPr>
                    <pic:cNvPr id="0" name="m02_component_architecture.png"/>
                    <pic:cNvPicPr/>
                  </pic:nvPicPr>
                  <pic:blipFill>
                    <a:blip r:embed="rId11"/>
                    <a:stretch>
                      <a:fillRect/>
                    </a:stretch>
                  </pic:blipFill>
                  <pic:spPr>
                    <a:xfrm>
                      <a:off x="0" y="0"/>
                      <a:ext cx="5806440" cy="3606105"/>
                    </a:xfrm>
                    <a:prstGeom prst="rect"/>
                  </pic:spPr>
                </pic:pic>
              </a:graphicData>
            </a:graphic>
          </wp:inline>
        </w:drawing>
      </w:r>
    </w:p>
    <w:p>
      <w:pPr>
        <w:pStyle w:val="Caption"/>
        <w:jc w:val="center"/>
      </w:pPr>
      <w:r>
        <w:t>Figure 1. M02 component architecture and authority boundaries</w:t>
      </w:r>
    </w:p>
    <w:p>
      <w:pPr>
        <w:pStyle w:val="Heading2"/>
        <w:keepNext/>
      </w:pPr>
      <w:r>
        <w:t>3.1 Components</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1950"/>
        <w:gridCol w:w="4620"/>
        <w:gridCol w:w="2790"/>
      </w:tblGrid>
      <w:tr>
        <w:trPr>
          <w:tblHeader w:val="true"/>
          <w:cantSplit/>
        </w:trPr>
        <w:tc>
          <w:tcPr>
            <w:tcW w:type="dxa" w:w="195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Component</w:t>
            </w:r>
          </w:p>
        </w:tc>
        <w:tc>
          <w:tcPr>
            <w:tcW w:type="dxa" w:w="462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Responsibility</w:t>
            </w:r>
          </w:p>
        </w:tc>
        <w:tc>
          <w:tcPr>
            <w:tcW w:type="dxa" w:w="279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Not allowed</w:t>
            </w:r>
          </w:p>
        </w:tc>
      </w:tr>
      <w:tr>
        <w:trPr>
          <w:cantSplit/>
        </w:trPr>
        <w:tc>
          <w:tcPr>
            <w:tcW w:type="dxa" w:w="195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OperationService</w:t>
            </w:r>
          </w:p>
        </w:tc>
        <w:tc>
          <w:tcPr>
            <w:tcW w:type="dxa" w:w="462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Acquire or recover operation_id; persist operation registry row and requested event atomically; create authorized resend linkage.</w:t>
            </w:r>
          </w:p>
        </w:tc>
        <w:tc>
          <w:tcPr>
            <w:tcW w:type="dxa" w:w="279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Provider I/O, schema selection, or mutable operation status.</w:t>
            </w:r>
          </w:p>
        </w:tc>
      </w:tr>
      <w:tr>
        <w:trPr>
          <w:cantSplit/>
        </w:trPr>
        <w:tc>
          <w:tcPr>
            <w:tcW w:type="dxa" w:w="19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EventAppendService</w:t>
            </w:r>
          </w:p>
        </w:tc>
        <w:tc>
          <w:tcPr>
            <w:tcW w:type="dxa" w:w="462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Validate command, contract, status scope, authority, links, metadata, timestamps, dedupe, and append transaction.</w:t>
            </w:r>
          </w:p>
        </w:tc>
        <w:tc>
          <w:tcPr>
            <w:tcW w:type="dxa" w:w="279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Raw provider payload storage or direct shared-control writes.</w:t>
            </w:r>
          </w:p>
        </w:tc>
      </w:tr>
      <w:tr>
        <w:trPr>
          <w:cantSplit/>
        </w:trPr>
        <w:tc>
          <w:tcPr>
            <w:tcW w:type="dxa" w:w="195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ContractRegistry</w:t>
            </w:r>
          </w:p>
        </w:tc>
        <w:tc>
          <w:tcPr>
            <w:tcW w:type="dxa" w:w="462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Load active type/status/contract descriptors; cache versioned snapshots; fail closed on incompatible or missing entries.</w:t>
            </w:r>
          </w:p>
        </w:tc>
        <w:tc>
          <w:tcPr>
            <w:tcW w:type="dxa" w:w="279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Interpreting unknown codes or rewriting historical contract meaning.</w:t>
            </w:r>
          </w:p>
        </w:tc>
      </w:tr>
      <w:tr>
        <w:trPr>
          <w:cantSplit/>
        </w:trPr>
        <w:tc>
          <w:tcPr>
            <w:tcW w:type="dxa" w:w="19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KeyProvider</w:t>
            </w:r>
          </w:p>
        </w:tc>
        <w:tc>
          <w:tcPr>
            <w:tcW w:type="dxa" w:w="462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Resolve tenant/version key envelopes, invoke Cloud KMS, enforce cache isolation/expiry, and fail closed when the active key is unavailable.</w:t>
            </w:r>
          </w:p>
        </w:tc>
        <w:tc>
          <w:tcPr>
            <w:tcW w:type="dxa" w:w="279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Database mutation, cross-tenant key enumeration, key export, logging secrets, or choosing a replacement version.</w:t>
            </w:r>
          </w:p>
        </w:tc>
      </w:tr>
      <w:tr>
        <w:trPr>
          <w:cantSplit/>
        </w:trPr>
        <w:tc>
          <w:tcPr>
            <w:tcW w:type="dxa" w:w="195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ProjectionEngine</w:t>
            </w:r>
          </w:p>
        </w:tc>
        <w:tc>
          <w:tcPr>
            <w:tcW w:type="dxa" w:w="462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Pure deterministic fold over a complete event set after correction and duplicate handling; produce explanations.</w:t>
            </w:r>
          </w:p>
        </w:tc>
        <w:tc>
          <w:tcPr>
            <w:tcW w:type="dxa" w:w="279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External calls, queue mutation, use of received_at to invent terminal precedence.</w:t>
            </w:r>
          </w:p>
        </w:tc>
      </w:tr>
      <w:tr>
        <w:trPr>
          <w:cantSplit/>
        </w:trPr>
        <w:tc>
          <w:tcPr>
            <w:tcW w:type="dxa" w:w="19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ProjectionRepository</w:t>
            </w:r>
          </w:p>
        </w:tc>
        <w:tc>
          <w:tcPr>
            <w:tcW w:type="dxa" w:w="462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Maintain and query derived operation_projections with version/freshness; support rebuild and bulk paging.</w:t>
            </w:r>
          </w:p>
        </w:tc>
        <w:tc>
          <w:tcPr>
            <w:tcW w:type="dxa" w:w="279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Treating cache rows as source evidence.</w:t>
            </w:r>
          </w:p>
        </w:tc>
      </w:tr>
      <w:tr>
        <w:trPr>
          <w:cantSplit/>
        </w:trPr>
        <w:tc>
          <w:tcPr>
            <w:tcW w:type="dxa" w:w="195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TimelineQueryService</w:t>
            </w:r>
          </w:p>
        </w:tc>
        <w:tc>
          <w:tcPr>
            <w:tcW w:type="dxa" w:w="462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Return authorized subject facts with correction/provenance and masked metadata under stable pagination.</w:t>
            </w:r>
          </w:p>
        </w:tc>
        <w:tc>
          <w:tcPr>
            <w:tcW w:type="dxa" w:w="279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Cross-tenant or unbounded queries.</w:t>
            </w:r>
          </w:p>
        </w:tc>
      </w:tr>
      <w:tr>
        <w:trPr>
          <w:cantSplit/>
        </w:trPr>
        <w:tc>
          <w:tcPr>
            <w:tcW w:type="dxa" w:w="19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HandoffDispatcher</w:t>
            </w:r>
          </w:p>
        </w:tc>
        <w:tc>
          <w:tcPr>
            <w:tcW w:type="dxa" w:w="462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Lease tenant outbox rows and deliver tenant-scoped commands/signals at least once to M05/M06/M11.</w:t>
            </w:r>
          </w:p>
        </w:tc>
        <w:tc>
          <w:tcPr>
            <w:tcW w:type="dxa" w:w="279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Marking delivered before consumer acknowledgement or embedding PHI.</w:t>
            </w:r>
          </w:p>
        </w:tc>
      </w:tr>
      <w:tr>
        <w:trPr>
          <w:cantSplit/>
        </w:trPr>
        <w:tc>
          <w:tcPr>
            <w:tcW w:type="dxa" w:w="195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IntegrityVerifier</w:t>
            </w:r>
          </w:p>
        </w:tc>
        <w:tc>
          <w:tcPr>
            <w:tcW w:type="dxa" w:w="462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Reconcile operation, event, binding, projection, outbox, and privileged-audit invariants; alert on unexplained defects.</w:t>
            </w:r>
          </w:p>
        </w:tc>
        <w:tc>
          <w:tcPr>
            <w:tcW w:type="dxa" w:w="279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Treating normal sequence gaps as tampering.</w:t>
            </w:r>
          </w:p>
        </w:tc>
      </w:tr>
    </w:tbl>
    <w:p>
      <w:pPr>
        <w:spacing w:after="40"/>
      </w:pPr>
    </w:p>
    <w:p>
      <w:pPr>
        <w:pStyle w:val="Heading2"/>
        <w:keepNext/>
      </w:pPr>
      <w:r>
        <w:t>3.2 Module handoffs</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1000"/>
        <w:gridCol w:w="4310"/>
        <w:gridCol w:w="4050"/>
      </w:tblGrid>
      <w:tr>
        <w:trPr>
          <w:tblHeader w:val="true"/>
          <w:cantSplit/>
        </w:trPr>
        <w:tc>
          <w:tcPr>
            <w:tcW w:type="dxa" w:w="100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Module</w:t>
            </w:r>
          </w:p>
        </w:tc>
        <w:tc>
          <w:tcPr>
            <w:tcW w:type="dxa" w:w="431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M02 provides</w:t>
            </w:r>
          </w:p>
        </w:tc>
        <w:tc>
          <w:tcPr>
            <w:tcW w:type="dxa" w:w="405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Consumer owns</w:t>
            </w:r>
          </w:p>
        </w:tc>
      </w:tr>
      <w:tr>
        <w:trPr>
          <w:cantSplit/>
        </w:trPr>
        <w:tc>
          <w:tcPr>
            <w:tcW w:type="dxa" w:w="10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M03</w:t>
            </w:r>
          </w:p>
        </w:tc>
        <w:tc>
          <w:tcPr>
            <w:tcW w:type="dxa" w:w="431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recordObservation / recordOutcome contracts, provider-source dedupe, correlation trust validation.</w:t>
            </w:r>
          </w:p>
        </w:tc>
        <w:tc>
          <w:tcPr>
            <w:tcW w:type="dxa" w:w="405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HMAC verification, durable inbox, claim/lease/reclaimer, routing resolution.</w:t>
            </w:r>
          </w:p>
        </w:tc>
      </w:tr>
      <w:tr>
        <w:trPr>
          <w:cantSplit/>
        </w:trPr>
        <w:tc>
          <w:tcPr>
            <w:tcW w:type="dxa" w:w="10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M05</w:t>
            </w:r>
          </w:p>
        </w:tc>
        <w:tc>
          <w:tcPr>
            <w:tcW w:type="dxa" w:w="43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At-least-once failure/conflict/manual-review command with deterministic key and source evidence IDs.</w:t>
            </w:r>
          </w:p>
        </w:tc>
        <w:tc>
          <w:tcPr>
            <w:tcW w:type="dxa" w:w="40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One effective staff work item, mutable lifecycle, assignment, SLA, resolution UX.</w:t>
            </w:r>
          </w:p>
        </w:tc>
      </w:tr>
      <w:tr>
        <w:trPr>
          <w:cantSplit/>
        </w:trPr>
        <w:tc>
          <w:tcPr>
            <w:tcW w:type="dxa" w:w="10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M06</w:t>
            </w:r>
          </w:p>
        </w:tc>
        <w:tc>
          <w:tcPr>
            <w:tcW w:type="dxa" w:w="431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Stable operation, indeterminate evidence, bulk projection, stale-intent evidence query, and tenant-bound reconciliation command.</w:t>
            </w:r>
          </w:p>
        </w:tc>
        <w:tc>
          <w:tcPr>
            <w:tcW w:type="dxa" w:w="405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Scheduling, adapter lookup, leases, reconciliation-case lifecycle, retry policy.</w:t>
            </w:r>
          </w:p>
        </w:tc>
      </w:tr>
      <w:tr>
        <w:trPr>
          <w:cantSplit/>
        </w:trPr>
        <w:tc>
          <w:tcPr>
            <w:tcW w:type="dxa" w:w="10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M10</w:t>
            </w:r>
          </w:p>
        </w:tc>
        <w:tc>
          <w:tcPr>
            <w:tcW w:type="dxa" w:w="43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Bulk projection and subject timeline with version, freshness, explanation, and masking.</w:t>
            </w:r>
          </w:p>
        </w:tc>
        <w:tc>
          <w:tcPr>
            <w:tcW w:type="dxa" w:w="40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Clinic-facing presentation, authorization UX, pagination experience.</w:t>
            </w:r>
          </w:p>
        </w:tc>
      </w:tr>
      <w:tr>
        <w:trPr>
          <w:cantSplit/>
        </w:trPr>
        <w:tc>
          <w:tcPr>
            <w:tcW w:type="dxa" w:w="10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M11</w:t>
            </w:r>
          </w:p>
        </w:tc>
        <w:tc>
          <w:tcPr>
            <w:tcW w:type="dxa" w:w="431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PHI-safe append/projection/handoff signals and integrity metrics.</w:t>
            </w:r>
          </w:p>
        </w:tc>
        <w:tc>
          <w:tcPr>
            <w:tcW w:type="dxa" w:w="405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Correlation governance, log pipeline, dashboards, alerts, on-call runbooks.</w:t>
            </w:r>
          </w:p>
        </w:tc>
      </w:tr>
      <w:tr>
        <w:trPr>
          <w:cantSplit/>
        </w:trPr>
        <w:tc>
          <w:tcPr>
            <w:tcW w:type="dxa" w:w="10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M07–M09/M12</w:t>
            </w:r>
          </w:p>
        </w:tc>
        <w:tc>
          <w:tcPr>
            <w:tcW w:type="dxa" w:w="43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Versioned producer contracts for domain-specific event types and outcomes.</w:t>
            </w:r>
          </w:p>
        </w:tc>
        <w:tc>
          <w:tcPr>
            <w:tcW w:type="dxa" w:w="40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Business rules, subject validity, failure reason vocabulary, extension installation.</w:t>
            </w:r>
          </w:p>
        </w:tc>
      </w:tr>
    </w:tbl>
    <w:p>
      <w:pPr>
        <w:spacing w:after="40"/>
      </w:pPr>
    </w:p>
    <w:p>
      <w:pPr>
        <w:pStyle w:val="Heading1"/>
        <w:keepNext/>
      </w:pPr>
      <w:r>
        <w:t>4. Domain model and physical data design</w:t>
      </w:r>
    </w:p>
    <w:p>
      <w:pPr>
        <w:pStyle w:val="Heading2"/>
        <w:keepNext/>
      </w:pPr>
      <w:r>
        <w:t>4.1 Tenant-local tables</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2400"/>
        <w:gridCol w:w="4650"/>
        <w:gridCol w:w="2310"/>
      </w:tblGrid>
      <w:tr>
        <w:trPr>
          <w:tblHeader w:val="true"/>
          <w:cantSplit/>
        </w:trPr>
        <w:tc>
          <w:tcPr>
            <w:tcW w:type="dxa" w:w="240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Table</w:t>
            </w:r>
          </w:p>
        </w:tc>
        <w:tc>
          <w:tcPr>
            <w:tcW w:type="dxa" w:w="465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Purpose</w:t>
            </w:r>
          </w:p>
        </w:tc>
        <w:tc>
          <w:tcPr>
            <w:tcW w:type="dxa" w:w="231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Mutability / role</w:t>
            </w:r>
          </w:p>
        </w:tc>
      </w:tr>
      <w:tr>
        <w:trPr>
          <w:cantSplit/>
        </w:trPr>
        <w:tc>
          <w:tcPr>
            <w:tcW w:type="dxa" w:w="24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operation_registry</w:t>
            </w:r>
          </w:p>
        </w:tc>
        <w:tc>
          <w:tcPr>
            <w:tcW w:type="dxa" w:w="465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Stable operation identity, action/owner, dedupe fingerprint, subject anchor, resend linkage, creation provenance.</w:t>
            </w:r>
          </w:p>
        </w:tc>
        <w:tc>
          <w:tcPr>
            <w:tcW w:type="dxa" w:w="231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Insert-only through approved procedures; one row per logical operation.</w:t>
            </w:r>
          </w:p>
        </w:tc>
      </w:tr>
      <w:tr>
        <w:trPr>
          <w:cantSplit/>
        </w:trPr>
        <w:tc>
          <w:tcPr>
            <w:tcW w:type="dxa" w:w="24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operation_key_versions</w:t>
            </w:r>
          </w:p>
        </w:tc>
        <w:tc>
          <w:tcPr>
            <w:tcW w:type="dxa" w:w="46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Active, target, and retained business-key/HMAC versions per owner and action; no secret material.</w:t>
            </w:r>
          </w:p>
        </w:tc>
        <w:tc>
          <w:tcPr>
            <w:tcW w:type="dxa" w:w="23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Mutable only by the controlled SECURITY DEFINER rotation procedure.</w:t>
            </w:r>
          </w:p>
        </w:tc>
      </w:tr>
      <w:tr>
        <w:trPr>
          <w:cantSplit/>
        </w:trPr>
        <w:tc>
          <w:tcPr>
            <w:tcW w:type="dxa" w:w="24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patient_events</w:t>
            </w:r>
          </w:p>
        </w:tc>
        <w:tc>
          <w:tcPr>
            <w:tcW w:type="dxa" w:w="465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Authoritative immutable facts, nullable patient_id, and total-order append_sequence within the tenant schema.</w:t>
            </w:r>
          </w:p>
        </w:tc>
        <w:tc>
          <w:tcPr>
            <w:tcW w:type="dxa" w:w="231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Insert/read through approved procedures; no updated_at.</w:t>
            </w:r>
          </w:p>
        </w:tc>
      </w:tr>
      <w:tr>
        <w:trPr>
          <w:cantSplit/>
        </w:trPr>
        <w:tc>
          <w:tcPr>
            <w:tcW w:type="dxa" w:w="24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patient_event_links</w:t>
            </w:r>
          </w:p>
        </w:tc>
        <w:tc>
          <w:tcPr>
            <w:tcW w:type="dxa" w:w="46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Typed immutable links from an event to patient, appointment, log, batch/run, message, document, or approved subject/source.</w:t>
            </w:r>
          </w:p>
        </w:tc>
        <w:tc>
          <w:tcPr>
            <w:tcW w:type="dxa" w:w="23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Inserted in the same transaction as the event.</w:t>
            </w:r>
          </w:p>
        </w:tc>
      </w:tr>
      <w:tr>
        <w:trPr>
          <w:cantSplit/>
        </w:trPr>
        <w:tc>
          <w:tcPr>
            <w:tcW w:type="dxa" w:w="24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operation_acceptance_bindings</w:t>
            </w:r>
          </w:p>
        </w:tc>
        <w:tc>
          <w:tcPr>
            <w:tcW w:type="dxa" w:w="465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One canonical provider/account/external identity per operation; first verified acceptance wins until authorized correction.</w:t>
            </w:r>
          </w:p>
        </w:tc>
        <w:tc>
          <w:tcPr>
            <w:tcW w:type="dxa" w:w="231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Insert once; correction creates replacement evidence through privileged workflow.</w:t>
            </w:r>
          </w:p>
        </w:tc>
      </w:tr>
      <w:tr>
        <w:trPr>
          <w:cantSplit/>
        </w:trPr>
        <w:tc>
          <w:tcPr>
            <w:tcW w:type="dxa" w:w="24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operation_projections</w:t>
            </w:r>
          </w:p>
        </w:tc>
        <w:tc>
          <w:tcPr>
            <w:tcW w:type="dxa" w:w="46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Derived current state, controlling IDs, explanation, engine version, source high-water snapshot, and refreshed_at.</w:t>
            </w:r>
          </w:p>
        </w:tc>
        <w:tc>
          <w:tcPr>
            <w:tcW w:type="dxa" w:w="23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Mutable/rebuildable; not evidence.</w:t>
            </w:r>
          </w:p>
        </w:tc>
      </w:tr>
      <w:tr>
        <w:trPr>
          <w:cantSplit/>
        </w:trPr>
        <w:tc>
          <w:tcPr>
            <w:tcW w:type="dxa" w:w="24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event_handoff_outbox</w:t>
            </w:r>
          </w:p>
        </w:tc>
        <w:tc>
          <w:tcPr>
            <w:tcW w:type="dxa" w:w="465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Crash-durable commands/signals to M05, M06, and M11 with deterministic dedupe key and delivery lease state.</w:t>
            </w:r>
          </w:p>
        </w:tc>
        <w:tc>
          <w:tcPr>
            <w:tcW w:type="dxa" w:w="231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Mutable delivery state; payload structural and PHI-minimum.</w:t>
            </w:r>
          </w:p>
        </w:tc>
      </w:tr>
    </w:tbl>
    <w:p>
      <w:pPr>
        <w:spacing w:after="40"/>
      </w:pPr>
    </w:p>
    <w:p>
      <w:pPr>
        <w:pStyle w:val="Heading2"/>
        <w:keepNext/>
      </w:pPr>
      <w:r>
        <w:t>4.2 operation_registry</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2220"/>
        <w:gridCol w:w="2500"/>
        <w:gridCol w:w="4640"/>
      </w:tblGrid>
      <w:tr>
        <w:trPr>
          <w:tblHeader w:val="true"/>
          <w:cantSplit/>
        </w:trPr>
        <w:tc>
          <w:tcPr>
            <w:tcW w:type="dxa" w:w="222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Column</w:t>
            </w:r>
          </w:p>
        </w:tc>
        <w:tc>
          <w:tcPr>
            <w:tcW w:type="dxa" w:w="250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Type / nullability</w:t>
            </w:r>
          </w:p>
        </w:tc>
        <w:tc>
          <w:tcPr>
            <w:tcW w:type="dxa" w:w="464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Rule</w:t>
            </w:r>
          </w:p>
        </w:tc>
      </w:tr>
      <w:tr>
        <w:trPr>
          <w:cantSplit/>
        </w:trPr>
        <w:tc>
          <w:tcPr>
            <w:tcW w:type="dxa" w:w="222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operation_id</w:t>
            </w:r>
          </w:p>
        </w:tc>
        <w:tc>
          <w:tcPr>
            <w:tcW w:type="dxa" w:w="25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uuid • PK</w:t>
            </w:r>
          </w:p>
        </w:tc>
        <w:tc>
          <w:tcPr>
            <w:tcW w:type="dxa" w:w="464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Cryptographically strong UUID generated before insert; provider idempotency key where supported.</w:t>
            </w:r>
          </w:p>
        </w:tc>
      </w:tr>
      <w:tr>
        <w:trPr>
          <w:cantSplit/>
        </w:trPr>
        <w:tc>
          <w:tcPr>
            <w:tcW w:type="dxa" w:w="222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owner_service</w:t>
            </w:r>
          </w:p>
        </w:tc>
        <w:tc>
          <w:tcPr>
            <w:tcW w:type="dxa" w:w="25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varchar(64) • required</w:t>
            </w:r>
          </w:p>
        </w:tc>
        <w:tc>
          <w:tcPr>
            <w:tcW w:type="dxa" w:w="464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Controlled producer identity; immutable.</w:t>
            </w:r>
          </w:p>
        </w:tc>
      </w:tr>
      <w:tr>
        <w:trPr>
          <w:cantSplit/>
        </w:trPr>
        <w:tc>
          <w:tcPr>
            <w:tcW w:type="dxa" w:w="222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action_code</w:t>
            </w:r>
          </w:p>
        </w:tc>
        <w:tc>
          <w:tcPr>
            <w:tcW w:type="dxa" w:w="25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varchar(96) • required</w:t>
            </w:r>
          </w:p>
        </w:tc>
        <w:tc>
          <w:tcPr>
            <w:tcW w:type="dxa" w:w="464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Active event-contract action family.</w:t>
            </w:r>
          </w:p>
        </w:tc>
      </w:tr>
      <w:tr>
        <w:trPr>
          <w:cantSplit/>
        </w:trPr>
        <w:tc>
          <w:tcPr>
            <w:tcW w:type="dxa" w:w="222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business_key_fingerprint</w:t>
            </w:r>
          </w:p>
        </w:tc>
        <w:tc>
          <w:tcPr>
            <w:tcW w:type="dxa" w:w="25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bytea • required</w:t>
            </w:r>
          </w:p>
        </w:tc>
        <w:tc>
          <w:tcPr>
            <w:tcW w:type="dxa" w:w="464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HMAC-SHA-256 of canonical owning-module business key; key version stored separately; no raw PHI.</w:t>
            </w:r>
          </w:p>
        </w:tc>
      </w:tr>
      <w:tr>
        <w:trPr>
          <w:cantSplit/>
        </w:trPr>
        <w:tc>
          <w:tcPr>
            <w:tcW w:type="dxa" w:w="222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business_key_version</w:t>
            </w:r>
          </w:p>
        </w:tc>
        <w:tc>
          <w:tcPr>
            <w:tcW w:type="dxa" w:w="25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smallint • required</w:t>
            </w:r>
          </w:p>
        </w:tc>
        <w:tc>
          <w:tcPr>
            <w:tcW w:type="dxa" w:w="464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Database-approved active write version used for this row; rotation never changes existing operation_id.</w:t>
            </w:r>
          </w:p>
        </w:tc>
      </w:tr>
      <w:tr>
        <w:trPr>
          <w:cantSplit/>
        </w:trPr>
        <w:tc>
          <w:tcPr>
            <w:tcW w:type="dxa" w:w="222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subject_type / subject_id</w:t>
            </w:r>
          </w:p>
        </w:tc>
        <w:tc>
          <w:tcPr>
            <w:tcW w:type="dxa" w:w="25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varchar(48) / uuid • required</w:t>
            </w:r>
          </w:p>
        </w:tc>
        <w:tc>
          <w:tcPr>
            <w:tcW w:type="dxa" w:w="464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Authorized tenant-local anchor; validated before insert.</w:t>
            </w:r>
          </w:p>
        </w:tc>
      </w:tr>
      <w:tr>
        <w:trPr>
          <w:cantSplit/>
        </w:trPr>
        <w:tc>
          <w:tcPr>
            <w:tcW w:type="dxa" w:w="222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resend_of_operation_id</w:t>
            </w:r>
          </w:p>
        </w:tc>
        <w:tc>
          <w:tcPr>
            <w:tcW w:type="dxa" w:w="25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uuid • nullable FK</w:t>
            </w:r>
          </w:p>
        </w:tc>
        <w:tc>
          <w:tcPr>
            <w:tcW w:type="dxa" w:w="464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Only manual authorized resend; cannot self-reference; chain cycle rejected.</w:t>
            </w:r>
          </w:p>
        </w:tc>
      </w:tr>
      <w:tr>
        <w:trPr>
          <w:cantSplit/>
        </w:trPr>
        <w:tc>
          <w:tcPr>
            <w:tcW w:type="dxa" w:w="222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correlation_id</w:t>
            </w:r>
          </w:p>
        </w:tc>
        <w:tc>
          <w:tcPr>
            <w:tcW w:type="dxa" w:w="25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uuid • required</w:t>
            </w:r>
          </w:p>
        </w:tc>
        <w:tc>
          <w:tcPr>
            <w:tcW w:type="dxa" w:w="464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Request/job scope at creation; not operation identity.</w:t>
            </w:r>
          </w:p>
        </w:tc>
      </w:tr>
      <w:tr>
        <w:trPr>
          <w:cantSplit/>
        </w:trPr>
        <w:tc>
          <w:tcPr>
            <w:tcW w:type="dxa" w:w="222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producer_version</w:t>
            </w:r>
          </w:p>
        </w:tc>
        <w:tc>
          <w:tcPr>
            <w:tcW w:type="dxa" w:w="25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varchar(64) • required</w:t>
            </w:r>
          </w:p>
        </w:tc>
        <w:tc>
          <w:tcPr>
            <w:tcW w:type="dxa" w:w="464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Deployment provenance.</w:t>
            </w:r>
          </w:p>
        </w:tc>
      </w:tr>
      <w:tr>
        <w:trPr>
          <w:cantSplit/>
        </w:trPr>
        <w:tc>
          <w:tcPr>
            <w:tcW w:type="dxa" w:w="222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created_at</w:t>
            </w:r>
          </w:p>
        </w:tc>
        <w:tc>
          <w:tcPr>
            <w:tcW w:type="dxa" w:w="25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timestamptz • DB default</w:t>
            </w:r>
          </w:p>
        </w:tc>
        <w:tc>
          <w:tcPr>
            <w:tcW w:type="dxa" w:w="464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Immutable insertion time.</w:t>
            </w:r>
          </w:p>
        </w:tc>
      </w:tr>
    </w:tbl>
    <w:p>
      <w:pPr>
        <w:spacing w:after="40"/>
      </w:pPr>
    </w:p>
    <w:p>
      <w:pPr>
        <w:spacing w:before="100" w:after="180" w:line="259" w:lineRule="auto"/>
        <w:ind w:left="173" w:right="173"/>
        <w:shd w:fill="E8EEF5"/>
        <w:pBdr>
          <w:left w:val="single" w:sz="18" w:space="8" w:color="16324F"/>
        </w:pBdr>
        <w:keepLines/>
      </w:pPr>
      <w:r>
        <w:rPr>
          <w:rFonts w:ascii="Calibri" w:hAnsi="Calibri" w:eastAsia="Calibri"/>
          <w:b/>
          <w:color w:val="16324F"/>
        </w:rPr>
        <w:t xml:space="preserve">Uniqueness and rotation. </w:t>
      </w:r>
      <w:r>
        <w:rPr>
          <w:rFonts w:ascii="Calibri" w:hAnsi="Calibri" w:eastAsia="Calibri"/>
          <w:color w:val="243746"/>
        </w:rPr>
        <w:t>UNIQUE(owner_service, action_code, business_key_version, business_key_fingerprint) protects each version. beginOperation calls m02_begin_key_scope, a narrow SECURITY DEFINER gateway that locks the operation_key_versions control row FOR KEY SHARE and returns the database-controlled active and retained versions. Rotation calls m02_rotate_key_version, which holds FOR UPDATE and refuses the flip until the producer-compatibility gate is satisfied. The procedure looks up fingerprints under every retained version before inserting. A producer that cannot compute the active version fails closed. This expand -&gt; compatibility gate -&gt; atomic flip -&gt; retention -&gt; contract sequence prevents cross-version forks during rolling deployment. A resend uses a distinct owning-module business key and resend_of_operation_id.</w:t>
      </w:r>
    </w:p>
    <w:p>
      <w:pPr>
        <w:pStyle w:val="Heading3"/>
        <w:keepNext/>
      </w:pPr>
      <w:r>
        <w:t>4.2.1 Business-key version control</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2800"/>
        <w:gridCol w:w="6560"/>
      </w:tblGrid>
      <w:tr>
        <w:trPr>
          <w:tblHeader w:val="true"/>
          <w:cantSplit/>
        </w:trPr>
        <w:tc>
          <w:tcPr>
            <w:tcW w:type="dxa" w:w="280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Field</w:t>
            </w:r>
          </w:p>
        </w:tc>
        <w:tc>
          <w:tcPr>
            <w:tcW w:type="dxa" w:w="656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Rule</w:t>
            </w:r>
          </w:p>
        </w:tc>
      </w:tr>
      <w:tr>
        <w:trPr>
          <w:cantSplit/>
        </w:trPr>
        <w:tc>
          <w:tcPr>
            <w:tcW w:type="dxa" w:w="28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owner_service / action_code</w:t>
            </w:r>
          </w:p>
        </w:tc>
        <w:tc>
          <w:tcPr>
            <w:tcW w:type="dxa" w:w="656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Composite primary key; one control row for each owning business-key contract in the tenant schema.</w:t>
            </w:r>
          </w:p>
        </w:tc>
      </w:tr>
      <w:tr>
        <w:trPr>
          <w:cantSplit/>
        </w:trPr>
        <w:tc>
          <w:tcPr>
            <w:tcW w:type="dxa" w:w="28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active_write_version</w:t>
            </w:r>
          </w:p>
        </w:tc>
        <w:tc>
          <w:tcPr>
            <w:tcW w:type="dxa" w:w="65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Exactly one version accepted for new registry rows; m02_begin_key_scope validates producer support while holding FOR KEY SHARE.</w:t>
            </w:r>
          </w:p>
        </w:tc>
      </w:tr>
      <w:tr>
        <w:trPr>
          <w:cantSplit/>
        </w:trPr>
        <w:tc>
          <w:tcPr>
            <w:tcW w:type="dxa" w:w="28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retained_lookup_versions</w:t>
            </w:r>
          </w:p>
        </w:tc>
        <w:tc>
          <w:tcPr>
            <w:tcW w:type="dxa" w:w="656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Ordered bounded versions used only for lookup; each must have a recoverable tenant key envelope.</w:t>
            </w:r>
          </w:p>
        </w:tc>
      </w:tr>
      <w:tr>
        <w:trPr>
          <w:cantSplit/>
        </w:trPr>
        <w:tc>
          <w:tcPr>
            <w:tcW w:type="dxa" w:w="28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target_write_version / compatibility_generation</w:t>
            </w:r>
          </w:p>
        </w:tc>
        <w:tc>
          <w:tcPr>
            <w:tcW w:type="dxa" w:w="65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Prepared version plus the deployment generation that every live authorized producer must declare before activation.</w:t>
            </w:r>
          </w:p>
        </w:tc>
      </w:tr>
      <w:tr>
        <w:trPr>
          <w:cantSplit/>
        </w:trPr>
        <w:tc>
          <w:tcPr>
            <w:tcW w:type="dxa" w:w="28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generation</w:t>
            </w:r>
          </w:p>
        </w:tc>
        <w:tc>
          <w:tcPr>
            <w:tcW w:type="dxa" w:w="656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Monotonic active control generation bound into the ContractRegistry snapshot, producer startup declaration, and rotation audit.</w:t>
            </w:r>
          </w:p>
        </w:tc>
      </w:tr>
      <w:tr>
        <w:trPr>
          <w:cantSplit/>
        </w:trPr>
        <w:tc>
          <w:tcPr>
            <w:tcW w:type="dxa" w:w="28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updated_at / updated_by</w:t>
            </w:r>
          </w:p>
        </w:tc>
        <w:tc>
          <w:tcPr>
            <w:tcW w:type="dxa" w:w="65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Database timestamp and privileged workload identity; rotation is audited and unavailable to runtime.</w:t>
            </w:r>
          </w:p>
        </w:tc>
      </w:tr>
    </w:tbl>
    <w:p>
      <w:pPr>
        <w:spacing w:after="40"/>
      </w:pPr>
    </w:p>
    <w:p>
      <w:pPr>
        <w:pStyle w:val="Heading2"/>
        <w:keepNext/>
      </w:pPr>
      <w:r>
        <w:t>4.3 patient_events</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2150"/>
        <w:gridCol w:w="2560"/>
        <w:gridCol w:w="4650"/>
      </w:tblGrid>
      <w:tr>
        <w:trPr>
          <w:tblHeader w:val="true"/>
          <w:cantSplit/>
        </w:trPr>
        <w:tc>
          <w:tcPr>
            <w:tcW w:type="dxa" w:w="215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Column</w:t>
            </w:r>
          </w:p>
        </w:tc>
        <w:tc>
          <w:tcPr>
            <w:tcW w:type="dxa" w:w="256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Type / nullability</w:t>
            </w:r>
          </w:p>
        </w:tc>
        <w:tc>
          <w:tcPr>
            <w:tcW w:type="dxa" w:w="465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Rule</w:t>
            </w:r>
          </w:p>
        </w:tc>
      </w:tr>
      <w:tr>
        <w:trPr>
          <w:cantSplit/>
        </w:trPr>
        <w:tc>
          <w:tcPr>
            <w:tcW w:type="dxa" w:w="21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event_id</w:t>
            </w:r>
          </w:p>
        </w:tc>
        <w:tc>
          <w:tcPr>
            <w:tcW w:type="dxa" w:w="256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uuid • PK</w:t>
            </w:r>
          </w:p>
        </w:tc>
        <w:tc>
          <w:tcPr>
            <w:tcW w:type="dxa" w:w="46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Generated before insert and reused for retry/commit-ambiguity lookup.</w:t>
            </w:r>
          </w:p>
        </w:tc>
      </w:tr>
      <w:tr>
        <w:trPr>
          <w:cantSplit/>
        </w:trPr>
        <w:tc>
          <w:tcPr>
            <w:tcW w:type="dxa" w:w="21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append_sequence</w:t>
            </w:r>
          </w:p>
        </w:tc>
        <w:tc>
          <w:tcPr>
            <w:tcW w:type="dxa" w:w="25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bigint identity • unique</w:t>
            </w:r>
          </w:p>
        </w:tc>
        <w:tc>
          <w:tcPr>
            <w:tcW w:type="dxa" w:w="46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Tenant-local total-order tiebreaker over a complete visible set; not commit order/cursor.</w:t>
            </w:r>
          </w:p>
        </w:tc>
      </w:tr>
      <w:tr>
        <w:trPr>
          <w:cantSplit/>
        </w:trPr>
        <w:tc>
          <w:tcPr>
            <w:tcW w:type="dxa" w:w="21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operation_id</w:t>
            </w:r>
          </w:p>
        </w:tc>
        <w:tc>
          <w:tcPr>
            <w:tcW w:type="dxa" w:w="256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uuid • nullable FK</w:t>
            </w:r>
          </w:p>
        </w:tc>
        <w:tc>
          <w:tcPr>
            <w:tcW w:type="dxa" w:w="46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Required for external side effects, failure/conflict, correction of operation facts, and manual resolution.</w:t>
            </w:r>
          </w:p>
        </w:tc>
      </w:tr>
      <w:tr>
        <w:trPr>
          <w:cantSplit/>
        </w:trPr>
        <w:tc>
          <w:tcPr>
            <w:tcW w:type="dxa" w:w="21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patient_id</w:t>
            </w:r>
          </w:p>
        </w:tc>
        <w:tc>
          <w:tcPr>
            <w:tcW w:type="dxa" w:w="25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uuid • nullable FK</w:t>
            </w:r>
          </w:p>
        </w:tc>
        <w:tc>
          <w:tcPr>
            <w:tcW w:type="dxa" w:w="46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Approved primary patient anchor when known; at least patient_id or one approved subject/source link is required.</w:t>
            </w:r>
          </w:p>
        </w:tc>
      </w:tr>
      <w:tr>
        <w:trPr>
          <w:cantSplit/>
        </w:trPr>
        <w:tc>
          <w:tcPr>
            <w:tcW w:type="dxa" w:w="21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event_type / contract_version</w:t>
            </w:r>
          </w:p>
        </w:tc>
        <w:tc>
          <w:tcPr>
            <w:tcW w:type="dxa" w:w="256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varchar(128) / integer</w:t>
            </w:r>
          </w:p>
        </w:tc>
        <w:tc>
          <w:tcPr>
            <w:tcW w:type="dxa" w:w="46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Active shared type and exact immutable contract version.</w:t>
            </w:r>
          </w:p>
        </w:tc>
      </w:tr>
      <w:tr>
        <w:trPr>
          <w:cantSplit/>
        </w:trPr>
        <w:tc>
          <w:tcPr>
            <w:tcW w:type="dxa" w:w="21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event_level / status</w:t>
            </w:r>
          </w:p>
        </w:tc>
        <w:tc>
          <w:tcPr>
            <w:tcW w:type="dxa" w:w="25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varchar(32) / varchar(64)</w:t>
            </w:r>
          </w:p>
        </w:tc>
        <w:tc>
          <w:tcPr>
            <w:tcW w:type="dxa" w:w="46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Validated combination; status scope must be stored_event or both.</w:t>
            </w:r>
          </w:p>
        </w:tc>
      </w:tr>
      <w:tr>
        <w:trPr>
          <w:cantSplit/>
        </w:trPr>
        <w:tc>
          <w:tcPr>
            <w:tcW w:type="dxa" w:w="21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channel / direction</w:t>
            </w:r>
          </w:p>
        </w:tc>
        <w:tc>
          <w:tcPr>
            <w:tcW w:type="dxa" w:w="256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varchar(32) • nullable</w:t>
            </w:r>
          </w:p>
        </w:tc>
        <w:tc>
          <w:tcPr>
            <w:tcW w:type="dxa" w:w="46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Required when declared by contract.</w:t>
            </w:r>
          </w:p>
        </w:tc>
      </w:tr>
      <w:tr>
        <w:trPr>
          <w:cantSplit/>
        </w:trPr>
        <w:tc>
          <w:tcPr>
            <w:tcW w:type="dxa" w:w="21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correlation_id</w:t>
            </w:r>
          </w:p>
        </w:tc>
        <w:tc>
          <w:tcPr>
            <w:tcW w:type="dxa" w:w="25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uuid • required</w:t>
            </w:r>
          </w:p>
        </w:tc>
        <w:tc>
          <w:tcPr>
            <w:tcW w:type="dxa" w:w="46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Trusted entry-point request/job value; validated but never used as durable identity.</w:t>
            </w:r>
          </w:p>
        </w:tc>
      </w:tr>
      <w:tr>
        <w:trPr>
          <w:cantSplit/>
        </w:trPr>
        <w:tc>
          <w:tcPr>
            <w:tcW w:type="dxa" w:w="21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causation_event_id</w:t>
            </w:r>
          </w:p>
        </w:tc>
        <w:tc>
          <w:tcPr>
            <w:tcW w:type="dxa" w:w="256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uuid • nullable FK</w:t>
            </w:r>
          </w:p>
        </w:tc>
        <w:tc>
          <w:tcPr>
            <w:tcW w:type="dxa" w:w="46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Prior tenant event that caused this assertion.</w:t>
            </w:r>
          </w:p>
        </w:tc>
      </w:tr>
      <w:tr>
        <w:trPr>
          <w:cantSplit/>
        </w:trPr>
        <w:tc>
          <w:tcPr>
            <w:tcW w:type="dxa" w:w="21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provider / provider_account</w:t>
            </w:r>
          </w:p>
        </w:tc>
        <w:tc>
          <w:tcPr>
            <w:tcW w:type="dxa" w:w="25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varchar(64) • nullable</w:t>
            </w:r>
          </w:p>
        </w:tc>
        <w:tc>
          <w:tcPr>
            <w:tcW w:type="dxa" w:w="46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Required whenever external/provider identifiers appear.</w:t>
            </w:r>
          </w:p>
        </w:tc>
      </w:tr>
      <w:tr>
        <w:trPr>
          <w:cantSplit/>
        </w:trPr>
        <w:tc>
          <w:tcPr>
            <w:tcW w:type="dxa" w:w="21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external_id / provider_event_id</w:t>
            </w:r>
          </w:p>
        </w:tc>
        <w:tc>
          <w:tcPr>
            <w:tcW w:type="dxa" w:w="256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varchar(256) • nullable</w:t>
            </w:r>
          </w:p>
        </w:tc>
        <w:tc>
          <w:tcPr>
            <w:tcW w:type="dxa" w:w="46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Namespaced; normalized and bounded; intent/rejected/indeterminate normally omit external_id.</w:t>
            </w:r>
          </w:p>
        </w:tc>
      </w:tr>
      <w:tr>
        <w:trPr>
          <w:cantSplit/>
        </w:trPr>
        <w:tc>
          <w:tcPr>
            <w:tcW w:type="dxa" w:w="21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source_namespace / source_event_id</w:t>
            </w:r>
          </w:p>
        </w:tc>
        <w:tc>
          <w:tcPr>
            <w:tcW w:type="dxa" w:w="25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varchar(64) / varchar(256) • nullable</w:t>
            </w:r>
          </w:p>
        </w:tc>
        <w:tc>
          <w:tcPr>
            <w:tcW w:type="dxa" w:w="46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Verified producer-source dedupe identity.</w:t>
            </w:r>
          </w:p>
        </w:tc>
      </w:tr>
      <w:tr>
        <w:trPr>
          <w:cantSplit/>
        </w:trPr>
        <w:tc>
          <w:tcPr>
            <w:tcW w:type="dxa" w:w="21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producer_dedupe_key</w:t>
            </w:r>
          </w:p>
        </w:tc>
        <w:tc>
          <w:tcPr>
            <w:tcW w:type="dxa" w:w="256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varchar(256) • nullable</w:t>
            </w:r>
          </w:p>
        </w:tc>
        <w:tc>
          <w:tcPr>
            <w:tcW w:type="dxa" w:w="46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Contract-defined retry identity when no verified source event ID exists.</w:t>
            </w:r>
          </w:p>
        </w:tc>
      </w:tr>
      <w:tr>
        <w:trPr>
          <w:cantSplit/>
        </w:trPr>
        <w:tc>
          <w:tcPr>
            <w:tcW w:type="dxa" w:w="21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content_fingerprint</w:t>
            </w:r>
          </w:p>
        </w:tc>
        <w:tc>
          <w:tcPr>
            <w:tcW w:type="dxa" w:w="25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bytea • required</w:t>
            </w:r>
          </w:p>
        </w:tc>
        <w:tc>
          <w:tcPr>
            <w:tcW w:type="dxa" w:w="46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SHA-256 over canonical immutable fields, links, and metadata; equivalent-key retries must match.</w:t>
            </w:r>
          </w:p>
        </w:tc>
      </w:tr>
      <w:tr>
        <w:trPr>
          <w:cantSplit/>
        </w:trPr>
        <w:tc>
          <w:tcPr>
            <w:tcW w:type="dxa" w:w="21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producer_service / producer_version</w:t>
            </w:r>
          </w:p>
        </w:tc>
        <w:tc>
          <w:tcPr>
            <w:tcW w:type="dxa" w:w="256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varchar(64) / varchar(64)</w:t>
            </w:r>
          </w:p>
        </w:tc>
        <w:tc>
          <w:tcPr>
            <w:tcW w:type="dxa" w:w="46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Authorized writer and deployment provenance.</w:t>
            </w:r>
          </w:p>
        </w:tc>
      </w:tr>
      <w:tr>
        <w:trPr>
          <w:cantSplit/>
        </w:trPr>
        <w:tc>
          <w:tcPr>
            <w:tcW w:type="dxa" w:w="21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actor_id / workload_id / auth_method</w:t>
            </w:r>
          </w:p>
        </w:tc>
        <w:tc>
          <w:tcPr>
            <w:tcW w:type="dxa" w:w="25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uuid / uuid / varchar(32)</w:t>
            </w:r>
          </w:p>
        </w:tc>
        <w:tc>
          <w:tcPr>
            <w:tcW w:type="dxa" w:w="46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Exactly one principal kind plus authentication evidence; correction may require actor.</w:t>
            </w:r>
          </w:p>
        </w:tc>
      </w:tr>
      <w:tr>
        <w:trPr>
          <w:cantSplit/>
        </w:trPr>
        <w:tc>
          <w:tcPr>
            <w:tcW w:type="dxa" w:w="21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occurred_at / source_time_quality</w:t>
            </w:r>
          </w:p>
        </w:tc>
        <w:tc>
          <w:tcPr>
            <w:tcW w:type="dxa" w:w="256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timestamptz / varchar(24)</w:t>
            </w:r>
          </w:p>
        </w:tc>
        <w:tc>
          <w:tcPr>
            <w:tcW w:type="dxa" w:w="46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Source time plus trusted, estimated, absent, or invalid quality.</w:t>
            </w:r>
          </w:p>
        </w:tc>
      </w:tr>
      <w:tr>
        <w:trPr>
          <w:cantSplit/>
        </w:trPr>
        <w:tc>
          <w:tcPr>
            <w:tcW w:type="dxa" w:w="21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received_at / created_at</w:t>
            </w:r>
          </w:p>
        </w:tc>
        <w:tc>
          <w:tcPr>
            <w:tcW w:type="dxa" w:w="25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timestamptz / timestamptz</w:t>
            </w:r>
          </w:p>
        </w:tc>
        <w:tc>
          <w:tcPr>
            <w:tcW w:type="dxa" w:w="46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Platform receipt and DB insertion; created_at DB assigned.</w:t>
            </w:r>
          </w:p>
        </w:tc>
      </w:tr>
      <w:tr>
        <w:trPr>
          <w:cantSplit/>
        </w:trPr>
        <w:tc>
          <w:tcPr>
            <w:tcW w:type="dxa" w:w="21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corrected_event_id</w:t>
            </w:r>
          </w:p>
        </w:tc>
        <w:tc>
          <w:tcPr>
            <w:tcW w:type="dxa" w:w="256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uuid • nullable FK</w:t>
            </w:r>
          </w:p>
        </w:tc>
        <w:tc>
          <w:tcPr>
            <w:tcW w:type="dxa" w:w="46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Required only by correction/resolution contract; same tenant.</w:t>
            </w:r>
          </w:p>
        </w:tc>
      </w:tr>
      <w:tr>
        <w:trPr>
          <w:cantSplit/>
        </w:trPr>
        <w:tc>
          <w:tcPr>
            <w:tcW w:type="dxa" w:w="21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correction_reason / correction_scope</w:t>
            </w:r>
          </w:p>
        </w:tc>
        <w:tc>
          <w:tcPr>
            <w:tcW w:type="dxa" w:w="25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varchar(64) / varchar(32)</w:t>
            </w:r>
          </w:p>
        </w:tc>
        <w:tc>
          <w:tcPr>
            <w:tcW w:type="dxa" w:w="46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Controlled reason and metadata_only or asserted_fact semantics.</w:t>
            </w:r>
          </w:p>
        </w:tc>
      </w:tr>
      <w:tr>
        <w:trPr>
          <w:cantSplit/>
        </w:trPr>
        <w:tc>
          <w:tcPr>
            <w:tcW w:type="dxa" w:w="21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failure_reason_code / resolution_path_code</w:t>
            </w:r>
          </w:p>
        </w:tc>
        <w:tc>
          <w:tcPr>
            <w:tcW w:type="dxa" w:w="256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varchar(64) • nullable</w:t>
            </w:r>
          </w:p>
        </w:tc>
        <w:tc>
          <w:tcPr>
            <w:tcW w:type="dxa" w:w="46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Controlled owning-module vocabulary; no unrestricted explanation.</w:t>
            </w:r>
          </w:p>
        </w:tc>
      </w:tr>
      <w:tr>
        <w:trPr>
          <w:cantSplit/>
        </w:trPr>
        <w:tc>
          <w:tcPr>
            <w:tcW w:type="dxa" w:w="21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metadata</w:t>
            </w:r>
          </w:p>
        </w:tc>
        <w:tc>
          <w:tcPr>
            <w:tcW w:type="dxa" w:w="25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jsonb • required default {}</w:t>
            </w:r>
          </w:p>
        </w:tc>
        <w:tc>
          <w:tcPr>
            <w:tcW w:type="dxa" w:w="46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Contract JSON Schema; 8 KiB encoded maximum baseline; allowlisted and PHI-minimum.</w:t>
            </w:r>
          </w:p>
        </w:tc>
      </w:tr>
    </w:tbl>
    <w:p>
      <w:pPr>
        <w:spacing w:after="40"/>
      </w:pPr>
    </w:p>
    <w:p>
      <w:pPr>
        <w:pStyle w:val="Heading2"/>
        <w:keepNext/>
      </w:pPr>
      <w:r>
        <w:t>4.4 Immutable links and canonical acceptance</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2250"/>
        <w:gridCol w:w="3220"/>
        <w:gridCol w:w="3890"/>
      </w:tblGrid>
      <w:tr>
        <w:trPr>
          <w:tblHeader w:val="true"/>
          <w:cantSplit/>
        </w:trPr>
        <w:tc>
          <w:tcPr>
            <w:tcW w:type="dxa" w:w="225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Record</w:t>
            </w:r>
          </w:p>
        </w:tc>
        <w:tc>
          <w:tcPr>
            <w:tcW w:type="dxa" w:w="322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Key fields</w:t>
            </w:r>
          </w:p>
        </w:tc>
        <w:tc>
          <w:tcPr>
            <w:tcW w:type="dxa" w:w="389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Integrity</w:t>
            </w:r>
          </w:p>
        </w:tc>
      </w:tr>
      <w:tr>
        <w:trPr>
          <w:cantSplit/>
        </w:trPr>
        <w:tc>
          <w:tcPr>
            <w:tcW w:type="dxa" w:w="225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patient_event_links</w:t>
            </w:r>
          </w:p>
        </w:tc>
        <w:tc>
          <w:tcPr>
            <w:tcW w:type="dxa" w:w="322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event_id, link_type, link_id, relationship</w:t>
            </w:r>
          </w:p>
        </w:tc>
        <w:tc>
          <w:tcPr>
            <w:tcW w:type="dxa" w:w="389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PK(event_id, link_type, link_id, relationship); same-tenant resolution through an allowlisted resolver. A deferred database constraint requires patient_id or at least one approved link at COMMIT.</w:t>
            </w:r>
          </w:p>
        </w:tc>
      </w:tr>
      <w:tr>
        <w:trPr>
          <w:cantSplit/>
        </w:trPr>
        <w:tc>
          <w:tcPr>
            <w:tcW w:type="dxa" w:w="22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operation_acceptance_</w:t>
              <w:br/>
              <w:t>bindings</w:t>
            </w:r>
          </w:p>
        </w:tc>
        <w:tc>
          <w:tcPr>
            <w:tcW w:type="dxa" w:w="322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operation_id, provider, provider_account, identity_namespace, external_id, uniqueness_scope, source_event_id</w:t>
            </w:r>
          </w:p>
        </w:tc>
        <w:tc>
          <w:tcPr>
            <w:tcW w:type="dxa" w:w="389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PK(operation_id) always. A partial unique index on provider/account/namespace/external_id applies only when the immutable provider capability declares account_namespace uniqueness. Otherwise no cross-operation uniqueness is inferred. Competing identity creates acceptance_conflict evidence and an M05 outbox row.</w:t>
            </w:r>
          </w:p>
        </w:tc>
      </w:tr>
    </w:tbl>
    <w:p>
      <w:pPr>
        <w:spacing w:after="40"/>
      </w:pPr>
    </w:p>
    <w:p>
      <w:pPr>
        <w:pStyle w:val="Heading2"/>
        <w:keepNext/>
      </w:pPr>
      <w:r>
        <w:t>4.5 Shared reference and control data</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2200"/>
        <w:gridCol w:w="4930"/>
        <w:gridCol w:w="2230"/>
      </w:tblGrid>
      <w:tr>
        <w:trPr>
          <w:tblHeader w:val="true"/>
          <w:cantSplit/>
        </w:trPr>
        <w:tc>
          <w:tcPr>
            <w:tcW w:type="dxa" w:w="220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Shared object</w:t>
            </w:r>
          </w:p>
        </w:tc>
        <w:tc>
          <w:tcPr>
            <w:tcW w:type="dxa" w:w="493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Design contract</w:t>
            </w:r>
          </w:p>
        </w:tc>
        <w:tc>
          <w:tcPr>
            <w:tcW w:type="dxa" w:w="223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Writer</w:t>
            </w:r>
          </w:p>
        </w:tc>
      </w:tr>
      <w:tr>
        <w:trPr>
          <w:cantSplit/>
        </w:trPr>
        <w:tc>
          <w:tcPr>
            <w:tcW w:type="dxa" w:w="22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ref_event_types</w:t>
            </w:r>
          </w:p>
        </w:tc>
        <w:tc>
          <w:tcPr>
            <w:tcW w:type="dxa" w:w="493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Stable code, action family, display label, active flag, current contract version, permitted producer/level metadata.</w:t>
            </w:r>
          </w:p>
        </w:tc>
        <w:tc>
          <w:tcPr>
            <w:tcW w:type="dxa" w:w="223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Migrations/provisioning only.</w:t>
            </w:r>
          </w:p>
        </w:tc>
      </w:tr>
      <w:tr>
        <w:trPr>
          <w:cantSplit/>
        </w:trPr>
        <w:tc>
          <w:tcPr>
            <w:tcW w:type="dxa" w:w="22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ref_event_statuses</w:t>
            </w:r>
          </w:p>
        </w:tc>
        <w:tc>
          <w:tcPr>
            <w:tcW w:type="dxa" w:w="493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Stable code, status_scope, terminality, semantic level, precedence rank, compatible-outcome class, active flag.</w:t>
            </w:r>
          </w:p>
        </w:tc>
        <w:tc>
          <w:tcPr>
            <w:tcW w:type="dxa" w:w="223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Migrations/provisioning only.</w:t>
            </w:r>
          </w:p>
        </w:tc>
      </w:tr>
      <w:tr>
        <w:trPr>
          <w:cantSplit/>
        </w:trPr>
        <w:tc>
          <w:tcPr>
            <w:tcW w:type="dxa" w:w="22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event_contracts</w:t>
            </w:r>
          </w:p>
        </w:tc>
        <w:tc>
          <w:tcPr>
            <w:tcW w:type="dxa" w:w="493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Versioned JSON Schema and declarative constraints: required links, statuses, producers, metadata, projection behavior.</w:t>
            </w:r>
          </w:p>
        </w:tc>
        <w:tc>
          <w:tcPr>
            <w:tcW w:type="dxa" w:w="223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Migrations/provisioning only; old versions retained.</w:t>
            </w:r>
          </w:p>
        </w:tc>
      </w:tr>
      <w:tr>
        <w:trPr>
          <w:cantSplit/>
        </w:trPr>
        <w:tc>
          <w:tcPr>
            <w:tcW w:type="dxa" w:w="22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provider_capabilities</w:t>
            </w:r>
          </w:p>
        </w:tc>
        <w:tc>
          <w:tcPr>
            <w:tcW w:type="dxa" w:w="493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Versioned external-ID namespace and uniqueness scope, lookup/idempotency/time capability evidence, and activation state.</w:t>
            </w:r>
          </w:p>
        </w:tc>
        <w:tc>
          <w:tcPr>
            <w:tcW w:type="dxa" w:w="223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Controlled integration migration; old versions retained.</w:t>
            </w:r>
          </w:p>
        </w:tc>
      </w:tr>
      <w:tr>
        <w:trPr>
          <w:cantSplit/>
        </w:trPr>
        <w:tc>
          <w:tcPr>
            <w:tcW w:type="dxa" w:w="22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producer_key_capabilities</w:t>
            </w:r>
          </w:p>
        </w:tc>
        <w:tc>
          <w:tcPr>
            <w:tcW w:type="dxa" w:w="493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PHI-free live workload registration: producer identity, deployment generation, supported key versions, heartbeat expiry, and attestation source.</w:t>
            </w:r>
          </w:p>
        </w:tc>
        <w:tc>
          <w:tcPr>
            <w:tcW w:type="dxa" w:w="223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Producer startup/heartbeat identity; rotation reads through the definer gateway.</w:t>
            </w:r>
          </w:p>
        </w:tc>
      </w:tr>
      <w:tr>
        <w:trPr>
          <w:cantSplit/>
        </w:trPr>
        <w:tc>
          <w:tcPr>
            <w:tcW w:type="dxa" w:w="22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reconciliation_cases</w:t>
            </w:r>
          </w:p>
        </w:tc>
        <w:tc>
          <w:tcPr>
            <w:tcW w:type="dxa" w:w="493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tenant_id + operation_id unique; mutable M06 scheduling/lease state; verified tenant event/work links.</w:t>
            </w:r>
          </w:p>
        </w:tc>
        <w:tc>
          <w:tcPr>
            <w:tcW w:type="dxa" w:w="223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M06 controlled identity.</w:t>
            </w:r>
          </w:p>
        </w:tc>
      </w:tr>
      <w:tr>
        <w:trPr>
          <w:cantSplit/>
        </w:trPr>
        <w:tc>
          <w:tcPr>
            <w:tcW w:type="dxa" w:w="22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access_audit_log</w:t>
            </w:r>
          </w:p>
        </w:tc>
        <w:tc>
          <w:tcPr>
            <w:tcW w:type="dxa" w:w="493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Privileged correction, export, disposition, integrity override, and break-glass evidence.</w:t>
            </w:r>
          </w:p>
        </w:tc>
        <w:tc>
          <w:tcPr>
            <w:tcW w:type="dxa" w:w="223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M01/M11 approved identities.</w:t>
            </w:r>
          </w:p>
        </w:tc>
      </w:tr>
    </w:tbl>
    <w:p>
      <w:pPr>
        <w:spacing w:after="40"/>
      </w:pPr>
    </w:p>
    <w:p>
      <w:pPr>
        <w:pStyle w:val="Heading2"/>
        <w:keepNext/>
      </w:pPr>
      <w:r>
        <w:t>4.6 Required indexes and constraints</w:t>
      </w:r>
    </w:p>
    <w:p>
      <w:pPr>
        <w:pStyle w:val="ListBullet"/>
        <w:keepLines/>
      </w:pPr>
      <w:r>
        <w:t>patient_events: PK(event_id); UNIQUE(append_sequence); indexes (operation_id, append_sequence), (patient_id, created_at, event_id), (correlation_id, append_sequence), and link-driven timeline indexes. The named partial index idx_patient_events_stale_intent_scan on (created_at, operation_id, event_id) WHERE event_level='intent' AND operation_id IS NOT NULL serves the bounded stale-intent scan; the operation index serves its submission anti-join. JSON scans are not the normal query path; patient, link, and stale-intent plans are load-tested.</w:t>
      </w:r>
    </w:p>
    <w:p>
      <w:pPr>
        <w:pStyle w:val="ListBullet"/>
        <w:keepLines/>
      </w:pPr>
      <w:r>
        <w:t>Equivalent source events: partial UNIQUE(producer_service, source_namespace, source_event_id) where source_event_id is not null.</w:t>
      </w:r>
    </w:p>
    <w:p>
      <w:pPr>
        <w:pStyle w:val="ListBullet"/>
        <w:keepLines/>
      </w:pPr>
      <w:r>
        <w:t>Producer-generated facts without a source event: partial UNIQUE(producer_service, producer_dedupe_key) where producer_dedupe_key is not null; the key is a structured fingerprint defined by the contract.</w:t>
      </w:r>
    </w:p>
    <w:p>
      <w:pPr>
        <w:pStyle w:val="ListBullet"/>
        <w:keepLines/>
      </w:pPr>
      <w:r>
        <w:t>A duplicate key is success only if the immutable content fingerprint matches. A mismatch raises DEDUPE_CONFLICT, retains attempted structural evidence outside patient data, and requires investigation.</w:t>
      </w:r>
    </w:p>
    <w:p>
      <w:pPr>
        <w:pStyle w:val="ListBullet"/>
        <w:keepLines/>
      </w:pPr>
      <w:r>
        <w:t>A DEFERRABLE INITIALLY DEFERRED constraint trigger named trg_patient_event_subject_required rejects COMMIT when patient_id is null and no approved patient_event_links row exists. Foreign keys and validation triggers also reject cross-operation correction, causation, resend, and acceptance links and statuses whose scope is projection_only.</w:t>
      </w:r>
    </w:p>
    <w:p>
      <w:pPr>
        <w:pStyle w:val="ListBullet"/>
        <w:keepLines/>
      </w:pPr>
      <w:r>
        <w:t>The acceptance binding partial unique index applies only to rows whose versioned provider capability sets uniqueness_scope=account_namespace; the stored namespace and scope are immutable and validated before insert.</w:t>
      </w:r>
    </w:p>
    <w:p>
      <w:pPr>
        <w:pStyle w:val="ListBullet"/>
        <w:keepLines/>
      </w:pPr>
      <w:r>
        <w:t>Runtime has EXECUTE on purpose-specific M02 procedures but no raw INSERT, UPDATE, DELETE, or TRUNCATE on operation_registry, operation_key_versions, patient_events, patient_event_links, acceptance bindings, projections, or outbox. Application code owns orchestration inside one TenantTransactionGateway transaction; procedures enforce database invariants and perform the narrow mutations.</w:t>
      </w:r>
    </w:p>
    <w:p>
      <w:pPr>
        <w:pStyle w:val="ListBullet"/>
        <w:keepLines/>
      </w:pPr>
      <w:r>
        <w:t>Because PostgreSQL locking SELECTs require UPDATE privilege, haloflow_runtime never issues them directly. m02_lock_operation(operation_id) and m02_begin_key_scope(owner_service, action_code) are SECURITY DEFINER gateways owned by the dedicated NOLOGIN haloflow_m02_lock_owner role. Each uses schema-qualified objects, SET search_path to trusted M02 schemas plus pg_temp last, validates the M01 tenant context and exact row, returns only minimum structural data, and has PUBLIC EXECUTE revoked. Locks acquired inside either gateway remain held by the caller's TenantTransactionGateway transaction until COMMIT or ROLLBACK.</w:t>
      </w:r>
    </w:p>
    <w:p>
      <w:pPr>
        <w:pStyle w:val="Heading1"/>
        <w:keepNext/>
      </w:pPr>
      <w:r>
        <w:t>5. Event contracts and producer validation</w:t>
      </w:r>
    </w:p>
    <w:p>
      <w:pPr>
        <w:pStyle w:val="Heading2"/>
        <w:keepNext/>
      </w:pPr>
      <w:r>
        <w:t>5.1 Event level model</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1600"/>
        <w:gridCol w:w="3560"/>
        <w:gridCol w:w="4200"/>
      </w:tblGrid>
      <w:tr>
        <w:trPr>
          <w:tblHeader w:val="true"/>
          <w:cantSplit/>
        </w:trPr>
        <w:tc>
          <w:tcPr>
            <w:tcW w:type="dxa" w:w="160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Level</w:t>
            </w:r>
          </w:p>
        </w:tc>
        <w:tc>
          <w:tcPr>
            <w:tcW w:type="dxa" w:w="356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Use</w:t>
            </w:r>
          </w:p>
        </w:tc>
        <w:tc>
          <w:tcPr>
            <w:tcW w:type="dxa" w:w="420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Examples / rules</w:t>
            </w:r>
          </w:p>
        </w:tc>
      </w:tr>
      <w:tr>
        <w:trPr>
          <w:cantSplit/>
        </w:trPr>
        <w:tc>
          <w:tcPr>
            <w:tcW w:type="dxa" w:w="16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intent</w:t>
            </w:r>
          </w:p>
        </w:tc>
        <w:tc>
          <w:tcPr>
            <w:tcW w:type="dxa" w:w="356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Committed decision to attempt an external side effect.</w:t>
            </w:r>
          </w:p>
        </w:tc>
        <w:tc>
          <w:tcPr>
            <w:tcW w:type="dxa" w:w="42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{action}_requested; requested/pending; operation_id required; external_id forbidden.</w:t>
            </w:r>
          </w:p>
        </w:tc>
      </w:tr>
      <w:tr>
        <w:trPr>
          <w:cantSplit/>
        </w:trPr>
        <w:tc>
          <w:tcPr>
            <w:tcW w:type="dxa" w:w="16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submission</w:t>
            </w:r>
          </w:p>
        </w:tc>
        <w:tc>
          <w:tcPr>
            <w:tcW w:type="dxa" w:w="35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Immediate normalized call result.</w:t>
            </w:r>
          </w:p>
        </w:tc>
        <w:tc>
          <w:tcPr>
            <w:tcW w:type="dxa" w:w="42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{action}_accepted, _rejected, _submission_indeterminate; acceptance identity only when verified.</w:t>
            </w:r>
          </w:p>
        </w:tc>
      </w:tr>
      <w:tr>
        <w:trPr>
          <w:cantSplit/>
        </w:trPr>
        <w:tc>
          <w:tcPr>
            <w:tcW w:type="dxa" w:w="16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delivery</w:t>
            </w:r>
          </w:p>
        </w:tc>
        <w:tc>
          <w:tcPr>
            <w:tcW w:type="dxa" w:w="356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Verified provider delivery outcome.</w:t>
            </w:r>
          </w:p>
        </w:tc>
        <w:tc>
          <w:tcPr>
            <w:tcW w:type="dxa" w:w="42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{action}_delivered, _delivery_failed, _delivery_conflict; callback/lookup provenance required.</w:t>
            </w:r>
          </w:p>
        </w:tc>
      </w:tr>
      <w:tr>
        <w:trPr>
          <w:cantSplit/>
        </w:trPr>
        <w:tc>
          <w:tcPr>
            <w:tcW w:type="dxa" w:w="16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business_outcome</w:t>
            </w:r>
          </w:p>
        </w:tc>
        <w:tc>
          <w:tcPr>
            <w:tcW w:type="dxa" w:w="35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Verified domain result after submission.</w:t>
            </w:r>
          </w:p>
        </w:tc>
        <w:tc>
          <w:tcPr>
            <w:tcW w:type="dxa" w:w="42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EMR/domain completion or failure; typed business link and evidence source required.</w:t>
            </w:r>
          </w:p>
        </w:tc>
      </w:tr>
      <w:tr>
        <w:trPr>
          <w:cantSplit/>
        </w:trPr>
        <w:tc>
          <w:tcPr>
            <w:tcW w:type="dxa" w:w="16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observation</w:t>
            </w:r>
          </w:p>
        </w:tc>
        <w:tc>
          <w:tcPr>
            <w:tcW w:type="dxa" w:w="356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Accepted inbound/material fact not representing an outbound attempt.</w:t>
            </w:r>
          </w:p>
        </w:tc>
        <w:tc>
          <w:tcPr>
            <w:tcW w:type="dxa" w:w="42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patient_reply_received, fax_received, sms_stop_received; completed status; owning state change is atomic.</w:t>
            </w:r>
          </w:p>
        </w:tc>
      </w:tr>
      <w:tr>
        <w:trPr>
          <w:cantSplit/>
        </w:trPr>
        <w:tc>
          <w:tcPr>
            <w:tcW w:type="dxa" w:w="16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correction</w:t>
            </w:r>
          </w:p>
        </w:tc>
        <w:tc>
          <w:tcPr>
            <w:tcW w:type="dxa" w:w="35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Authorized correction, supersession, or manual resolution.</w:t>
            </w:r>
          </w:p>
        </w:tc>
        <w:tc>
          <w:tcPr>
            <w:tcW w:type="dxa" w:w="42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corrected_event_id, actor/workload, reason, scope, evidence source; original remains queryable.</w:t>
            </w:r>
          </w:p>
        </w:tc>
      </w:tr>
    </w:tbl>
    <w:p>
      <w:pPr>
        <w:spacing w:after="40"/>
      </w:pPr>
    </w:p>
    <w:p>
      <w:pPr>
        <w:pStyle w:val="Heading2"/>
        <w:keepNext/>
      </w:pPr>
      <w:r>
        <w:t>5.2 Contract descriptor</w:t>
      </w:r>
    </w:p>
    <w:p>
      <w:pPr>
        <w:pStyle w:val="CodeBlock"/>
        <w:keepLines/>
        <w:shd w:fill="F4F6F9"/>
        <w:pBdr>
          <w:top w:val="single" w:sz="4" w:space="4" w:color="C9D1D9"/>
          <w:left w:val="single" w:sz="4" w:space="4" w:color="C9D1D9"/>
          <w:bottom w:val="single" w:sz="4" w:space="4" w:color="C9D1D9"/>
          <w:right w:val="single" w:sz="4" w:space="4" w:color="C9D1D9"/>
        </w:pBdr>
      </w:pPr>
      <w:r>
        <w:rPr>
          <w:rFonts w:ascii="Consolas" w:hAnsi="Consolas" w:eastAsia="Consolas"/>
          <w:color w:val="1F4D78"/>
          <w:sz w:val="17"/>
        </w:rPr>
        <w:t>EventContract {</w:t>
        <w:br/>
        <w:t xml:space="preserve">  event_type, version, action_family, event_level,</w:t>
        <w:br/>
        <w:t xml:space="preserve">  allowed_statuses[], terminality, compatible_outcome_class?, precedence_rank,</w:t>
        <w:br/>
        <w:t xml:space="preserve">  required_links[], optional_links[], metadata_json_schema, metadata_max_bytes,</w:t>
        <w:br/>
        <w:t xml:space="preserve">  authorized_producers[], required_provenance[], correction_policy,</w:t>
        <w:br/>
        <w:t xml:space="preserve">  projection_rule_id, effective_from, retired_at?</w:t>
        <w:br/>
        <w:t>}</w:t>
      </w:r>
    </w:p>
    <w:p>
      <w:r>
        <w:rPr>
          <w:rFonts w:ascii="Calibri" w:hAnsi="Calibri" w:eastAsia="Calibri"/>
          <w:i w:val="0"/>
          <w:color w:val="243746"/>
        </w:rPr>
        <w:t>ContractRegistry loads one immutable snapshot per tenant transaction. Startup fails if core seed codes or descriptors are absent, inactive without an approved rollout state, incorrectly scoped, or unsupported by the deployment. Owning modules install extension contracts before enabling producers. Additive schema changes receive a new contract version only when validation or projection behavior changes; historical rows retain their stored version.</w:t>
      </w:r>
    </w:p>
    <w:p>
      <w:pPr>
        <w:pStyle w:val="Heading2"/>
        <w:keepNext/>
      </w:pPr>
      <w:r>
        <w:t>5.3 Validation order</w:t>
      </w:r>
    </w:p>
    <w:p>
      <w:pPr>
        <w:numPr>
          <w:ilvl w:val="0"/>
          <w:numId w:val="10"/>
        </w:numPr>
        <w:pStyle w:val="ListNumber"/>
        <w:keepLines/>
      </w:pPr>
      <w:r>
        <w:t>Validate TenantContext, capability, producer identity, context expiry, and operation/subject ownership before database work.</w:t>
      </w:r>
    </w:p>
    <w:p>
      <w:pPr>
        <w:numPr>
          <w:ilvl w:val="0"/>
          <w:numId w:val="10"/>
        </w:numPr>
        <w:pStyle w:val="ListNumber"/>
        <w:keepLines/>
      </w:pPr>
      <w:r>
        <w:t>Resolve the exact active event type and contract version; verify producer, event level, status scope, and legal combination.</w:t>
      </w:r>
    </w:p>
    <w:p>
      <w:pPr>
        <w:numPr>
          <w:ilvl w:val="0"/>
          <w:numId w:val="10"/>
        </w:numPr>
        <w:pStyle w:val="ListNumber"/>
        <w:keepLines/>
      </w:pPr>
      <w:r>
        <w:t>Validate operation, causation, correction, provider namespace, subject/source links, and same-tenant references.</w:t>
      </w:r>
    </w:p>
    <w:p>
      <w:pPr>
        <w:numPr>
          <w:ilvl w:val="0"/>
          <w:numId w:val="10"/>
        </w:numPr>
        <w:pStyle w:val="ListNumber"/>
        <w:keepLines/>
      </w:pPr>
      <w:r>
        <w:t>Validate occurred_at quality, metadata JSON Schema and size, controlled failure/correction codes, and prohibited fields.</w:t>
      </w:r>
    </w:p>
    <w:p>
      <w:pPr>
        <w:numPr>
          <w:ilvl w:val="0"/>
          <w:numId w:val="10"/>
        </w:numPr>
        <w:pStyle w:val="ListNumber"/>
        <w:keepLines/>
      </w:pPr>
      <w:r>
        <w:t>Compute immutable content fingerprint and dedupe identity; return the prior row only when fingerprints match.</w:t>
      </w:r>
    </w:p>
    <w:p>
      <w:pPr>
        <w:numPr>
          <w:ilvl w:val="0"/>
          <w:numId w:val="10"/>
        </w:numPr>
        <w:pStyle w:val="ListNumber"/>
        <w:keepLines/>
      </w:pPr>
      <w:r>
        <w:t>Append event, related links, binding/projection changes, and required outbox records in one tenant transaction.</w:t>
      </w:r>
    </w:p>
    <w:p>
      <w:pPr>
        <w:pStyle w:val="Heading1"/>
        <w:keepNext/>
      </w:pPr>
      <w:r>
        <w:t>6. Public service interfaces</w:t>
      </w:r>
    </w:p>
    <w:p>
      <w:pPr>
        <w:pStyle w:val="CodeBlock"/>
        <w:keepLines/>
        <w:shd w:fill="F4F6F9"/>
        <w:pBdr>
          <w:top w:val="single" w:sz="4" w:space="4" w:color="C9D1D9"/>
          <w:left w:val="single" w:sz="4" w:space="4" w:color="C9D1D9"/>
          <w:bottom w:val="single" w:sz="4" w:space="4" w:color="C9D1D9"/>
          <w:right w:val="single" w:sz="4" w:space="4" w:color="C9D1D9"/>
        </w:pBdr>
      </w:pPr>
      <w:r>
        <w:rPr>
          <w:rFonts w:ascii="Consolas" w:hAnsi="Consolas" w:eastAsia="Consolas"/>
          <w:color w:val="1F4D78"/>
          <w:sz w:val="17"/>
        </w:rPr>
        <w:t>class EventFoundation:</w:t>
        <w:br/>
        <w:t xml:space="preserve">  begin_operation(ctx, action, subject, business_key, links) -&gt; OperationStart</w:t>
        <w:br/>
        <w:t xml:space="preserve">  record_submission_outcome(ctx, operation_id, outcome) -&gt; AppendResult</w:t>
        <w:br/>
        <w:t xml:space="preserve">  record_outcome(ctx, operation_id, outcome) -&gt; AppendResult</w:t>
        <w:br/>
        <w:t xml:space="preserve">  record_observation(ctx, observation, apply_state_change) -&gt; AppendResult</w:t>
        <w:br/>
        <w:t xml:space="preserve">  append_correction(ctx, corrected_event_id, correction) -&gt; AppendResult</w:t>
        <w:br/>
        <w:t xml:space="preserve">  record_manual_resolution(ctx, operation_id, resolution) -&gt; ResolutionResult</w:t>
        <w:br/>
        <w:t xml:space="preserve">  get_operation_projection(ctx, operation_id, consistency) -&gt; ProjectionResult</w:t>
        <w:br/>
        <w:t xml:space="preserve">  list_operation_projections(ctx, selector, cursor, page_size) -&gt; ProjectionPage</w:t>
        <w:br/>
        <w:t xml:space="preserve">  list_stale_intents(ctx, cutoff, selector, cursor, page_size) -&gt; StaleIntentPage</w:t>
        <w:br/>
        <w:t xml:space="preserve">  list_subject_timeline(ctx, subject, cursor, page_size, view) -&gt; TimelinePage</w:t>
      </w:r>
    </w:p>
    <w:p>
      <w:pPr>
        <w:pStyle w:val="Heading2"/>
        <w:keepNext/>
      </w:pPr>
      <w:r>
        <w:t>6.1 Command/result contracts</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1900"/>
        <w:gridCol w:w="3820"/>
        <w:gridCol w:w="3640"/>
      </w:tblGrid>
      <w:tr>
        <w:trPr>
          <w:tblHeader w:val="true"/>
          <w:cantSplit/>
        </w:trPr>
        <w:tc>
          <w:tcPr>
            <w:tcW w:type="dxa" w:w="190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Contract</w:t>
            </w:r>
          </w:p>
        </w:tc>
        <w:tc>
          <w:tcPr>
            <w:tcW w:type="dxa" w:w="382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Required fields</w:t>
            </w:r>
          </w:p>
        </w:tc>
        <w:tc>
          <w:tcPr>
            <w:tcW w:type="dxa" w:w="364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Behavior</w:t>
            </w:r>
          </w:p>
        </w:tc>
      </w:tr>
      <w:tr>
        <w:trPr>
          <w:cantSplit/>
        </w:trPr>
        <w:tc>
          <w:tcPr>
            <w:tcW w:type="dxa" w:w="19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OperationStart</w:t>
            </w:r>
          </w:p>
        </w:tc>
        <w:tc>
          <w:tcPr>
            <w:tcW w:type="dxa" w:w="382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operation_id, requested_event_id, created_or_existing, projection_version</w:t>
            </w:r>
          </w:p>
        </w:tc>
        <w:tc>
          <w:tcPr>
            <w:tcW w:type="dxa" w:w="364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Returned only after commit; an existing operation is returned when the business fingerprint matches.</w:t>
            </w:r>
          </w:p>
        </w:tc>
      </w:tr>
      <w:tr>
        <w:trPr>
          <w:cantSplit/>
        </w:trPr>
        <w:tc>
          <w:tcPr>
            <w:tcW w:type="dxa" w:w="19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SubmissionOutcome</w:t>
            </w:r>
          </w:p>
        </w:tc>
        <w:tc>
          <w:tcPr>
            <w:tcW w:type="dxa" w:w="382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outcome kind, provider/account, external ID when known, source provenance, occurred_at quality, producer dedupe</w:t>
            </w:r>
          </w:p>
        </w:tc>
        <w:tc>
          <w:tcPr>
            <w:tcW w:type="dxa" w:w="364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Adapter-normalized; cannot encode delivery or unrestricted error text.</w:t>
            </w:r>
          </w:p>
        </w:tc>
      </w:tr>
      <w:tr>
        <w:trPr>
          <w:cantSplit/>
        </w:trPr>
        <w:tc>
          <w:tcPr>
            <w:tcW w:type="dxa" w:w="19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Observation</w:t>
            </w:r>
          </w:p>
        </w:tc>
        <w:tc>
          <w:tcPr>
            <w:tcW w:type="dxa" w:w="382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event type/status, subject/source links, trusted correlation, source dedupe, accepted state-change callback</w:t>
            </w:r>
          </w:p>
        </w:tc>
        <w:tc>
          <w:tcPr>
            <w:tcW w:type="dxa" w:w="364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Event and owning accepted state mutation share one tenant transaction.</w:t>
            </w:r>
          </w:p>
        </w:tc>
      </w:tr>
      <w:tr>
        <w:trPr>
          <w:cantSplit/>
        </w:trPr>
        <w:tc>
          <w:tcPr>
            <w:tcW w:type="dxa" w:w="19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AppendResult</w:t>
            </w:r>
          </w:p>
        </w:tc>
        <w:tc>
          <w:tcPr>
            <w:tcW w:type="dxa" w:w="382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event_id, appended_or_existing, operation_id?, projection summary, handoff state</w:t>
            </w:r>
          </w:p>
        </w:tc>
        <w:tc>
          <w:tcPr>
            <w:tcW w:type="dxa" w:w="364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Equivalent duplicate is success; commit ambiguity is resolved by lookup before retry.</w:t>
            </w:r>
          </w:p>
        </w:tc>
      </w:tr>
      <w:tr>
        <w:trPr>
          <w:cantSplit/>
        </w:trPr>
        <w:tc>
          <w:tcPr>
            <w:tcW w:type="dxa" w:w="19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ProjectionResult</w:t>
            </w:r>
          </w:p>
        </w:tc>
        <w:tc>
          <w:tcPr>
            <w:tcW w:type="dxa" w:w="382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status, terminal, conflict/indeterminate flags, controlling IDs, explanation, version, freshness</w:t>
            </w:r>
          </w:p>
        </w:tc>
        <w:tc>
          <w:tcPr>
            <w:tcW w:type="dxa" w:w="364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No metadata body by default; unsupported/incomplete is explicit.</w:t>
            </w:r>
          </w:p>
        </w:tc>
      </w:tr>
      <w:tr>
        <w:trPr>
          <w:cantSplit/>
        </w:trPr>
        <w:tc>
          <w:tcPr>
            <w:tcW w:type="dxa" w:w="19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ProjectionPage</w:t>
            </w:r>
          </w:p>
        </w:tc>
        <w:tc>
          <w:tcPr>
            <w:tcW w:type="dxa" w:w="382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items, stable cursor, page version, generated_at, per-item error</w:t>
            </w:r>
          </w:p>
        </w:tc>
        <w:tc>
          <w:tcPr>
            <w:tcW w:type="dxa" w:w="364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One tenant, bounded selector, one projection-engine version per page.</w:t>
            </w:r>
          </w:p>
        </w:tc>
      </w:tr>
      <w:tr>
        <w:trPr>
          <w:cantSplit/>
        </w:trPr>
        <w:tc>
          <w:tcPr>
            <w:tcW w:type="dxa" w:w="19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StaleIntentPage</w:t>
            </w:r>
          </w:p>
        </w:tc>
        <w:tc>
          <w:tcPr>
            <w:tcW w:type="dxa" w:w="382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requested event, operation/action, age, provider lookup hints, signed cursor</w:t>
            </w:r>
          </w:p>
        </w:tc>
        <w:tc>
          <w:tcPr>
            <w:tcW w:type="dxa" w:w="364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Authoritative anti-join over intents with no qualifying submission fact; discovery does not change projection.</w:t>
            </w:r>
          </w:p>
        </w:tc>
      </w:tr>
      <w:tr>
        <w:trPr>
          <w:cantSplit/>
        </w:trPr>
        <w:tc>
          <w:tcPr>
            <w:tcW w:type="dxa" w:w="19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TimelinePage</w:t>
            </w:r>
          </w:p>
        </w:tc>
        <w:tc>
          <w:tcPr>
            <w:tcW w:type="dxa" w:w="382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ordered immutable facts, correction relationships, masked provenance, cursor</w:t>
            </w:r>
          </w:p>
        </w:tc>
        <w:tc>
          <w:tcPr>
            <w:tcW w:type="dxa" w:w="364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No hidden metadata by default; stable order uses chronology plus append_sequence.</w:t>
            </w:r>
          </w:p>
        </w:tc>
      </w:tr>
    </w:tbl>
    <w:p>
      <w:pPr>
        <w:spacing w:after="40"/>
      </w:pPr>
    </w:p>
    <w:p>
      <w:pPr>
        <w:pStyle w:val="Heading2"/>
        <w:keepNext/>
      </w:pPr>
      <w:r>
        <w:t>6.2 Transaction contract</w:t>
      </w:r>
    </w:p>
    <w:p>
      <w:r>
        <w:rPr>
          <w:rFonts w:ascii="Calibri" w:hAnsi="Calibri" w:eastAsia="Calibri"/>
          <w:i w:val="0"/>
          <w:color w:val="243746"/>
        </w:rPr>
        <w:t>Every write interface is invoked through TenantTransactionGateway. The service receives a scoped repository handle and contract snapshot, never a pool connection or schema identifier. The caller may supply an owning state-change callback only where the interface explicitly supports atomic domain mutation; nested tenant gateway calls and tenant changes inside the callback are rejected.</w:t>
      </w:r>
    </w:p>
    <w:p>
      <w:pPr>
        <w:spacing w:before="100" w:after="180" w:line="259" w:lineRule="auto"/>
        <w:ind w:left="173" w:right="173"/>
        <w:shd w:fill="FFF3CD"/>
        <w:pBdr>
          <w:left w:val="single" w:sz="18" w:space="8" w:color="7A5A00"/>
        </w:pBdr>
        <w:keepLines/>
      </w:pPr>
      <w:r>
        <w:rPr>
          <w:rFonts w:ascii="Calibri" w:hAnsi="Calibri" w:eastAsia="Calibri"/>
          <w:b/>
          <w:color w:val="7A5A00"/>
        </w:rPr>
        <w:t xml:space="preserve">Commit meaning. </w:t>
      </w:r>
      <w:r>
        <w:rPr>
          <w:rFonts w:ascii="Calibri" w:hAnsi="Calibri" w:eastAsia="Calibri"/>
          <w:color w:val="243746"/>
        </w:rPr>
        <w:t>Success means the authoritative Cloud SQL transaction committed. M11 signal delivery may lag or fail without reversing that truth. When commit outcome is uncertain, the caller receives APPEND_COMMIT_UNKNOWN and must resolve by event_id or dedupe key before attempting the same logical append.</w:t>
      </w:r>
    </w:p>
    <w:p>
      <w:pPr>
        <w:pStyle w:val="Heading1"/>
        <w:keepNext/>
      </w:pPr>
      <w:r>
        <w:t>7. External side-effect workflow</w:t>
      </w:r>
    </w:p>
    <w:p>
      <w:pPr>
        <w:spacing w:before="80" w:after="40"/>
        <w:jc w:val="center"/>
        <w:keepNext/>
      </w:pPr>
      <w:r>
        <w:drawing>
          <wp:inline xmlns:a="http://schemas.openxmlformats.org/drawingml/2006/main" xmlns:pic="http://schemas.openxmlformats.org/drawingml/2006/picture">
            <wp:extent cx="5806440" cy="4125628"/>
            <wp:docPr id="2" name="Picture 2" title="Figure 2. External side-effect intent, call, outcome, and crash closure" descr="Figure 2. External side-effect intent, call, outcome, and crash closure"/>
            <wp:cNvGraphicFramePr>
              <a:graphicFrameLocks noChangeAspect="1"/>
            </wp:cNvGraphicFramePr>
            <a:graphic>
              <a:graphicData uri="http://schemas.openxmlformats.org/drawingml/2006/picture">
                <pic:pic>
                  <pic:nvPicPr>
                    <pic:cNvPr id="0" name="m02_external_side_effect_sequence.png"/>
                    <pic:cNvPicPr/>
                  </pic:nvPicPr>
                  <pic:blipFill>
                    <a:blip r:embed="rId12"/>
                    <a:stretch>
                      <a:fillRect/>
                    </a:stretch>
                  </pic:blipFill>
                  <pic:spPr>
                    <a:xfrm>
                      <a:off x="0" y="0"/>
                      <a:ext cx="5806440" cy="4125628"/>
                    </a:xfrm>
                    <a:prstGeom prst="rect"/>
                  </pic:spPr>
                </pic:pic>
              </a:graphicData>
            </a:graphic>
          </wp:inline>
        </w:drawing>
      </w:r>
    </w:p>
    <w:p>
      <w:pPr>
        <w:pStyle w:val="Caption"/>
        <w:jc w:val="center"/>
      </w:pPr>
      <w:r>
        <w:t>Figure 2. External side-effect intent, call, outcome, and crash closure</w:t>
      </w:r>
    </w:p>
    <w:p>
      <w:pPr>
        <w:pStyle w:val="Heading2"/>
        <w:keepNext/>
      </w:pPr>
      <w:r>
        <w:t>7.1 beginOperation algorithm</w:t>
      </w:r>
    </w:p>
    <w:p>
      <w:pPr>
        <w:pStyle w:val="ListBullet"/>
        <w:keepLines/>
      </w:pPr>
      <w:r>
        <w:t>Canonicalize the owning-module business key and call m02_begin_key_scope(owner_service, action_code) inside the current TenantTransactionGateway transaction. The SECURITY DEFINER gateway validates tenant context, locks the exact operation_key_versions row FOR KEY SHARE, verifies the caller's live producer registration supports the database-controlled active generation, and returns only the active/retained version identifiers needed to compute tenant-isolated HMAC candidates; do not persist the raw key.</w:t>
      </w:r>
    </w:p>
    <w:p>
      <w:pPr>
        <w:pStyle w:val="ListBullet"/>
        <w:keepLines/>
      </w:pPr>
      <w:r>
        <w:t>Look up every retained candidate before insert, then INSERT operation_registry under the single active write version with ON CONFLICT against that version's fingerprint. On conflict, compare immutable action, owner, subject, and resend semantics; mismatch is a security-significant DEDUPE_CONFLICT.</w:t>
      </w:r>
    </w:p>
    <w:p>
      <w:pPr>
        <w:pStyle w:val="ListBullet"/>
        <w:keepLines/>
      </w:pPr>
      <w:r>
        <w:t>Append {action}_requested with the acquired operation_id and typed links in the same transaction. The requested event uses a deterministic producer dedupe key derived from operation_id plus contract type.</w:t>
      </w:r>
    </w:p>
    <w:p>
      <w:pPr>
        <w:pStyle w:val="ListBullet"/>
        <w:keepLines/>
      </w:pPr>
      <w:r>
        <w:t>Refresh the derived projection to requested/pending and enqueue the non-authoritative M11 signal in the same transaction.</w:t>
      </w:r>
    </w:p>
    <w:p>
      <w:pPr>
        <w:pStyle w:val="ListBullet"/>
        <w:keepLines/>
      </w:pPr>
      <w:r>
        <w:t>Commit. Only a committed OperationStart authorizes the adapter call.</w:t>
      </w:r>
    </w:p>
    <w:p>
      <w:pPr>
        <w:pStyle w:val="Heading2"/>
        <w:keepNext/>
      </w:pPr>
      <w:r>
        <w:t>7.2 Adapter boundary</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2800"/>
        <w:gridCol w:w="3700"/>
        <w:gridCol w:w="2860"/>
      </w:tblGrid>
      <w:tr>
        <w:trPr>
          <w:tblHeader w:val="true"/>
          <w:cantSplit/>
        </w:trPr>
        <w:tc>
          <w:tcPr>
            <w:tcW w:type="dxa" w:w="280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Raw adapter result</w:t>
            </w:r>
          </w:p>
        </w:tc>
        <w:tc>
          <w:tcPr>
            <w:tcW w:type="dxa" w:w="370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Normalized M02 result</w:t>
            </w:r>
          </w:p>
        </w:tc>
        <w:tc>
          <w:tcPr>
            <w:tcW w:type="dxa" w:w="286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Event</w:t>
            </w:r>
          </w:p>
        </w:tc>
      </w:tr>
      <w:tr>
        <w:trPr>
          <w:cantSplit/>
        </w:trPr>
        <w:tc>
          <w:tcPr>
            <w:tcW w:type="dxa" w:w="28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Provider accepted with verified identity</w:t>
            </w:r>
          </w:p>
        </w:tc>
        <w:tc>
          <w:tcPr>
            <w:tcW w:type="dxa" w:w="37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accepted(provider, account, external_id, source)</w:t>
            </w:r>
          </w:p>
        </w:tc>
        <w:tc>
          <w:tcPr>
            <w:tcW w:type="dxa" w:w="286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{action}_accepted</w:t>
            </w:r>
          </w:p>
        </w:tc>
      </w:tr>
      <w:tr>
        <w:trPr>
          <w:cantSplit/>
        </w:trPr>
        <w:tc>
          <w:tcPr>
            <w:tcW w:type="dxa" w:w="28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Definitive validation/business rejection</w:t>
            </w:r>
          </w:p>
        </w:tc>
        <w:tc>
          <w:tcPr>
            <w:tcW w:type="dxa" w:w="37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rejected(failure_reason_code, source)</w:t>
            </w:r>
          </w:p>
        </w:tc>
        <w:tc>
          <w:tcPr>
            <w:tcW w:type="dxa" w:w="28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{action}_rejected</w:t>
            </w:r>
          </w:p>
        </w:tc>
      </w:tr>
      <w:tr>
        <w:trPr>
          <w:cantSplit/>
        </w:trPr>
        <w:tc>
          <w:tcPr>
            <w:tcW w:type="dxa" w:w="28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Timeout, connection loss, malformed/ambiguous response</w:t>
            </w:r>
          </w:p>
        </w:tc>
        <w:tc>
          <w:tcPr>
            <w:tcW w:type="dxa" w:w="37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submission_indeterminate(reason_code, source)</w:t>
            </w:r>
          </w:p>
        </w:tc>
        <w:tc>
          <w:tcPr>
            <w:tcW w:type="dxa" w:w="286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{action}_submission_indeterminate</w:t>
            </w:r>
          </w:p>
        </w:tc>
      </w:tr>
      <w:tr>
        <w:trPr>
          <w:cantSplit/>
        </w:trPr>
        <w:tc>
          <w:tcPr>
            <w:tcW w:type="dxa" w:w="28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Unknown provider status</w:t>
            </w:r>
          </w:p>
        </w:tc>
        <w:tc>
          <w:tcPr>
            <w:tcW w:type="dxa" w:w="37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unsupported_mapping(raw_code_hash, adapter_version)</w:t>
            </w:r>
          </w:p>
        </w:tc>
        <w:tc>
          <w:tcPr>
            <w:tcW w:type="dxa" w:w="28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No success event; compatibility/reconciliation path</w:t>
            </w:r>
          </w:p>
        </w:tc>
      </w:tr>
    </w:tbl>
    <w:p>
      <w:pPr>
        <w:spacing w:after="40"/>
      </w:pPr>
    </w:p>
    <w:p>
      <w:pPr>
        <w:spacing w:before="100" w:after="180" w:line="259" w:lineRule="auto"/>
        <w:ind w:left="173" w:right="173"/>
        <w:shd w:fill="E7F3EA"/>
        <w:pBdr>
          <w:left w:val="single" w:sz="18" w:space="8" w:color="1F5A35"/>
        </w:pBdr>
        <w:keepLines/>
      </w:pPr>
      <w:r>
        <w:rPr>
          <w:rFonts w:ascii="Calibri" w:hAnsi="Calibri" w:eastAsia="Calibri"/>
          <w:b/>
          <w:color w:val="1F5A35"/>
        </w:rPr>
        <w:t xml:space="preserve">Notifyre. </w:t>
      </w:r>
      <w:r>
        <w:rPr>
          <w:rFonts w:ascii="Calibri" w:hAnsi="Calibri" w:eastAsia="Calibri"/>
          <w:color w:val="243746"/>
        </w:rPr>
        <w:t>For Notifyre, the UUID operation_id is transmitted byte-for-byte as the provider idempotency key on every attempt, restart, deployment, and takeover. No HMAC, prefix, suffix, or derivation is permitted.</w:t>
      </w:r>
    </w:p>
    <w:p>
      <w:pPr>
        <w:pStyle w:val="Heading2"/>
        <w:keepNext/>
      </w:pPr>
      <w:r>
        <w:t>7.3 Acceptance binding and conflicts</w:t>
      </w:r>
    </w:p>
    <w:p>
      <w:r>
        <w:rPr>
          <w:rFonts w:ascii="Calibri" w:hAnsi="Calibri" w:eastAsia="Calibri"/>
          <w:i w:val="0"/>
          <w:color w:val="243746"/>
        </w:rPr>
        <w:t>On an accepted result, EventAppendService attempts to insert operation_acceptance_bindings in the same transaction as the accepted event. The first verified provider/account/namespace/external identity becomes canonical. Repeating the identical identity is equivalent. The exact provider-capability version determines whether that identity is unique across operations; only account_namespace scope activates the partial unique index. A different verified identity never replaces the canonical binding: the service appends {action}_acceptance_conflict with stored status conflict, refreshes the projection to acceptance_conflict_requires_reconciliation, and inserts an M05 handoff outbox record.</w:t>
      </w:r>
    </w:p>
    <w:p>
      <w:pPr>
        <w:pStyle w:val="Heading2"/>
        <w:keepNext/>
      </w:pPr>
      <w:r>
        <w:t>7.4 Indeterminate and resend</w:t>
      </w:r>
    </w:p>
    <w:p>
      <w:r>
        <w:rPr>
          <w:rFonts w:ascii="Calibri" w:hAnsi="Calibri" w:eastAsia="Calibri"/>
          <w:i w:val="0"/>
          <w:color w:val="243746"/>
        </w:rPr>
        <w:t>A submission_indeterminate event is explicit, durable, and non-terminal. It creates an M06 reconciliation handoff; M02 does not retry the provider. A staff-authorized resend is a new operation with a new operation_id and resend_of_operation_id, attributable actor, controlled reason, and a warning that the original may have succeeded. It runs the full intent-before-action sequence.</w:t>
      </w:r>
    </w:p>
    <w:p>
      <w:pPr>
        <w:pStyle w:val="Heading1"/>
        <w:keepNext/>
      </w:pPr>
      <w:r>
        <w:t>8. Inbound observation and callback workflow</w:t>
      </w:r>
    </w:p>
    <w:p>
      <w:pPr>
        <w:pStyle w:val="Heading2"/>
        <w:keepNext/>
      </w:pPr>
      <w:r>
        <w:t>8.1 Observation transaction</w:t>
      </w:r>
    </w:p>
    <w:p>
      <w:pPr>
        <w:numPr>
          <w:ilvl w:val="0"/>
          <w:numId w:val="11"/>
        </w:numPr>
        <w:pStyle w:val="ListNumber"/>
        <w:keepLines/>
      </w:pPr>
      <w:r>
        <w:t>M03 verifies the webhook, resolves tenant/provider routing, claims the durable inbox row, normalizes the fact, and supplies trusted correlation according to the M11/M03 boundary.</w:t>
      </w:r>
    </w:p>
    <w:p>
      <w:pPr>
        <w:numPr>
          <w:ilvl w:val="0"/>
          <w:numId w:val="11"/>
        </w:numPr>
        <w:pStyle w:val="ListNumber"/>
        <w:keepLines/>
      </w:pPr>
      <w:r>
        <w:t>M02 validates the observation contract, source event identity, producer authority, typed subject/source link, timestamp quality, and minimum-necessary metadata.</w:t>
      </w:r>
    </w:p>
    <w:p>
      <w:pPr>
        <w:numPr>
          <w:ilvl w:val="0"/>
          <w:numId w:val="11"/>
        </w:numPr>
        <w:pStyle w:val="ListNumber"/>
        <w:keepLines/>
      </w:pPr>
      <w:r>
        <w:t>Within one M01 tenant transaction, the owning module applies the accepted domain state change and M02 appends one completed observation event plus links and any contract-required handoff. An operation projection is refreshed only when operation_id is present and the observation contract declares an operation projection rule; a null-operation observation creates no operation_projections row.</w:t>
      </w:r>
    </w:p>
    <w:p>
      <w:pPr>
        <w:numPr>
          <w:ilvl w:val="0"/>
          <w:numId w:val="11"/>
        </w:numPr>
        <w:pStyle w:val="ListNumber"/>
        <w:keepLines/>
      </w:pPr>
      <w:r>
        <w:t>An equivalent source duplicate returns the prior committed result. A different fact with the same source identity is DEDUPE_CONFLICT; no history is overwritten.</w:t>
      </w:r>
    </w:p>
    <w:p>
      <w:pPr>
        <w:numPr>
          <w:ilvl w:val="0"/>
          <w:numId w:val="11"/>
        </w:numPr>
        <w:pStyle w:val="ListNumber"/>
        <w:keepLines/>
      </w:pPr>
      <w:r>
        <w:t>M03 marks its inbox work complete only after the tenant transaction result is known; restart repeats safely.</w:t>
      </w:r>
    </w:p>
    <w:p>
      <w:pPr>
        <w:pStyle w:val="Heading2"/>
        <w:keepNext/>
      </w:pPr>
      <w:r>
        <w:t>8.2 Verified delivery/business outcomes</w:t>
      </w:r>
    </w:p>
    <w:p>
      <w:r>
        <w:rPr>
          <w:rFonts w:ascii="Calibri" w:hAnsi="Calibri" w:eastAsia="Calibri"/>
          <w:i w:val="0"/>
          <w:color w:val="243746"/>
        </w:rPr>
        <w:t>recordOutcome accepts facts only from an authorized M03 callback worker, M06 provider lookup, or owning-domain confirmation. Provenance must identify how the outcome was verified. Provider timestamps are used for semantic ordering only when source_time_quality is trusted. Missing or untrusted time cannot silently settle contradictory terminal evidence.</w:t>
      </w:r>
    </w:p>
    <w:p>
      <w:pPr>
        <w:pStyle w:val="Heading2"/>
        <w:keepNext/>
      </w:pPr>
      <w:r>
        <w:t>8.3 Terminal conflict</w:t>
      </w:r>
    </w:p>
    <w:p>
      <w:r>
        <w:rPr>
          <w:rFonts w:ascii="Calibri" w:hAnsi="Calibri" w:eastAsia="Calibri"/>
          <w:i w:val="0"/>
          <w:color w:val="243746"/>
        </w:rPr>
        <w:t>When incompatible verified terminal delivery or business facts exist, both remain authoritative. M02 appends {action}_delivery_conflict with stored status conflict, identifies the competing evidence, projects delivery_conflict_requires_reconciliation as non-terminal, and enqueues an M05 handoff. Only an authorized correction or manual-resolution event can resolve the conflict.</w:t>
      </w:r>
    </w:p>
    <w:p>
      <w:pPr>
        <w:pStyle w:val="Heading1"/>
        <w:keepNext/>
      </w:pPr>
      <w:r>
        <w:t>9. Deterministic projection design</w:t>
      </w:r>
    </w:p>
    <w:p>
      <w:pPr>
        <w:spacing w:before="80" w:after="40"/>
        <w:jc w:val="center"/>
        <w:keepNext/>
      </w:pPr>
      <w:r>
        <w:drawing>
          <wp:inline xmlns:a="http://schemas.openxmlformats.org/drawingml/2006/main" xmlns:pic="http://schemas.openxmlformats.org/drawingml/2006/picture">
            <wp:extent cx="5806440" cy="3208822"/>
            <wp:docPr id="3" name="Picture 3" title="Figure 3. Versioned deterministic projection pipeline" descr="Figure 3. Versioned deterministic projection pipeline"/>
            <wp:cNvGraphicFramePr>
              <a:graphicFrameLocks noChangeAspect="1"/>
            </wp:cNvGraphicFramePr>
            <a:graphic>
              <a:graphicData uri="http://schemas.openxmlformats.org/drawingml/2006/picture">
                <pic:pic>
                  <pic:nvPicPr>
                    <pic:cNvPr id="0" name="m02_projection_pipeline.png"/>
                    <pic:cNvPicPr/>
                  </pic:nvPicPr>
                  <pic:blipFill>
                    <a:blip r:embed="rId13"/>
                    <a:stretch>
                      <a:fillRect/>
                    </a:stretch>
                  </pic:blipFill>
                  <pic:spPr>
                    <a:xfrm>
                      <a:off x="0" y="0"/>
                      <a:ext cx="5806440" cy="3208822"/>
                    </a:xfrm>
                    <a:prstGeom prst="rect"/>
                  </pic:spPr>
                </pic:pic>
              </a:graphicData>
            </a:graphic>
          </wp:inline>
        </w:drawing>
      </w:r>
    </w:p>
    <w:p>
      <w:pPr>
        <w:pStyle w:val="Caption"/>
        <w:jc w:val="center"/>
      </w:pPr>
      <w:r>
        <w:t>Figure 3. Versioned deterministic projection pipeline</w:t>
      </w:r>
    </w:p>
    <w:p>
      <w:pPr>
        <w:pStyle w:val="Heading2"/>
        <w:keepNext/>
      </w:pPr>
      <w:r>
        <w:t>9.1 Pure projection algorithm</w:t>
      </w:r>
    </w:p>
    <w:p>
      <w:pPr>
        <w:numPr>
          <w:ilvl w:val="0"/>
          <w:numId w:val="12"/>
        </w:numPr>
        <w:pStyle w:val="ListNumber"/>
        <w:keepLines/>
      </w:pPr>
      <w:r>
        <w:t>Load the complete visible event set for one tenant operation and the exact referenced contract/status versions. Missing definitions yield projection_unsupported.</w:t>
      </w:r>
    </w:p>
    <w:p>
      <w:pPr>
        <w:numPr>
          <w:ilvl w:val="0"/>
          <w:numId w:val="12"/>
        </w:numPr>
        <w:pStyle w:val="ListNumber"/>
        <w:keepLines/>
      </w:pPr>
      <w:r>
        <w:t>Verify immutable structure and partition equivalent duplicates. A stored duplicate should already be prevented; any inconsistent duplicate is an integrity defect.</w:t>
      </w:r>
    </w:p>
    <w:p>
      <w:pPr>
        <w:numPr>
          <w:ilvl w:val="0"/>
          <w:numId w:val="12"/>
        </w:numPr>
        <w:pStyle w:val="ListNumber"/>
        <w:keepLines/>
      </w:pPr>
      <w:r>
        <w:t>Build the correction graph. Apply only authorized, valid corrections in append_sequence order; reject cycles, cross-operation targets, unsupported scope, or correction of correction when the contract forbids it. Preserve all original facts for the timeline.</w:t>
      </w:r>
    </w:p>
    <w:p>
      <w:pPr>
        <w:numPr>
          <w:ilvl w:val="0"/>
          <w:numId w:val="12"/>
        </w:numPr>
        <w:pStyle w:val="ListNumber"/>
        <w:keepLines/>
      </w:pPr>
      <w:r>
        <w:t>Detect canonical-acceptance violations before ordinary precedence. Any competing identity yields acceptance_conflict_requires_reconciliation until resolved by correction/manual evidence.</w:t>
      </w:r>
    </w:p>
    <w:p>
      <w:pPr>
        <w:numPr>
          <w:ilvl w:val="0"/>
          <w:numId w:val="12"/>
        </w:numPr>
        <w:pStyle w:val="ListNumber"/>
        <w:keepLines/>
      </w:pPr>
      <w:r>
        <w:t>Detect incompatible verified terminal delivery/business outcomes before ordinary precedence. Untrusted/missing source time never erases a conflict.</w:t>
      </w:r>
    </w:p>
    <w:p>
      <w:pPr>
        <w:numPr>
          <w:ilvl w:val="0"/>
          <w:numId w:val="12"/>
        </w:numPr>
        <w:pStyle w:val="ListNumber"/>
        <w:keepLines/>
      </w:pPr>
      <w:r>
        <w:t>If facts are compatible, choose the highest semantic level: delivery/business outcome over submission over intent. An observation with operation_id is folded only when its contract declares an operation projection rule. An observation with null operation_id produces no operation_projections row; its durable view is patient_events plus links and the subject timeline, while the owning module's accepted domain state changes atomically. Correction itself is not a business level.</w:t>
      </w:r>
    </w:p>
    <w:p>
      <w:pPr>
        <w:numPr>
          <w:ilvl w:val="0"/>
          <w:numId w:val="12"/>
        </w:numPr>
        <w:pStyle w:val="ListNumber"/>
        <w:keepLines/>
      </w:pPr>
      <w:r>
        <w:t>Within a compatible level, compare trustworthy occurred_at, then contract status precedence, then append_sequence as the final total-order tiebreaker. received_at is diagnostic only and cannot move a terminal state backward.</w:t>
      </w:r>
    </w:p>
    <w:p>
      <w:pPr>
        <w:numPr>
          <w:ilvl w:val="0"/>
          <w:numId w:val="12"/>
        </w:numPr>
        <w:pStyle w:val="ListNumber"/>
        <w:keepLines/>
      </w:pPr>
      <w:r>
        <w:t>Return status, terminality, flags, controlling and superseded event IDs, explanation code, projection_engine_version, contract versions, and source-set fingerprint.</w:t>
      </w:r>
    </w:p>
    <w:p>
      <w:pPr>
        <w:pStyle w:val="Heading2"/>
        <w:keepNext/>
      </w:pPr>
      <w:r>
        <w:t>9.2 Explanation codes</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3100"/>
        <w:gridCol w:w="6260"/>
      </w:tblGrid>
      <w:tr>
        <w:trPr>
          <w:tblHeader w:val="true"/>
          <w:cantSplit/>
        </w:trPr>
        <w:tc>
          <w:tcPr>
            <w:tcW w:type="dxa" w:w="310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Code</w:t>
            </w:r>
          </w:p>
        </w:tc>
        <w:tc>
          <w:tcPr>
            <w:tcW w:type="dxa" w:w="626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Meaning</w:t>
            </w:r>
          </w:p>
        </w:tc>
      </w:tr>
      <w:tr>
        <w:trPr>
          <w:cantSplit/>
        </w:trPr>
        <w:tc>
          <w:tcPr>
            <w:tcW w:type="dxa" w:w="3100"/>
            <w:tcMar>
              <w:top w:w="100" w:type="dxa"/>
              <w:start w:w="120" w:type="dxa"/>
              <w:bottom w:w="100" w:type="dxa"/>
              <w:end w:w="120" w:type="dxa"/>
            </w:tcMar>
            <w:vAlign w:val="center"/>
          </w:tcPr>
          <w:p>
            <w:pPr>
              <w:spacing w:after="0" w:line="259" w:lineRule="auto"/>
            </w:pPr>
            <w:r>
              <w:rPr>
                <w:rFonts w:ascii="Calibri" w:hAnsi="Calibri" w:eastAsia="Calibri"/>
                <w:b/>
                <w:color w:val="243746"/>
                <w:sz w:val="16"/>
              </w:rPr>
              <w:t>INTENT_ONLY</w:t>
            </w:r>
          </w:p>
        </w:tc>
        <w:tc>
          <w:tcPr>
            <w:tcW w:type="dxa" w:w="626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Committed request exists; no submission fact.</w:t>
            </w:r>
          </w:p>
        </w:tc>
      </w:tr>
      <w:tr>
        <w:trPr>
          <w:cantSplit/>
        </w:trPr>
        <w:tc>
          <w:tcPr>
            <w:tcW w:type="dxa" w:w="310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6"/>
              </w:rPr>
              <w:t>SUBMISSION_ACCEPTED</w:t>
            </w:r>
          </w:p>
        </w:tc>
        <w:tc>
          <w:tcPr>
            <w:tcW w:type="dxa" w:w="62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Canonical acceptance controls; delivery/business outcome absent.</w:t>
            </w:r>
          </w:p>
        </w:tc>
      </w:tr>
      <w:tr>
        <w:trPr>
          <w:cantSplit/>
        </w:trPr>
        <w:tc>
          <w:tcPr>
            <w:tcW w:type="dxa" w:w="3100"/>
            <w:tcMar>
              <w:top w:w="100" w:type="dxa"/>
              <w:start w:w="120" w:type="dxa"/>
              <w:bottom w:w="100" w:type="dxa"/>
              <w:end w:w="120" w:type="dxa"/>
            </w:tcMar>
            <w:vAlign w:val="center"/>
          </w:tcPr>
          <w:p>
            <w:pPr>
              <w:spacing w:after="0" w:line="259" w:lineRule="auto"/>
            </w:pPr>
            <w:r>
              <w:rPr>
                <w:rFonts w:ascii="Calibri" w:hAnsi="Calibri" w:eastAsia="Calibri"/>
                <w:b/>
                <w:color w:val="243746"/>
                <w:sz w:val="16"/>
              </w:rPr>
              <w:t>SUBMISSION_REJECTED</w:t>
            </w:r>
          </w:p>
        </w:tc>
        <w:tc>
          <w:tcPr>
            <w:tcW w:type="dxa" w:w="626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Definitive submission rejection controls.</w:t>
            </w:r>
          </w:p>
        </w:tc>
      </w:tr>
      <w:tr>
        <w:trPr>
          <w:cantSplit/>
        </w:trPr>
        <w:tc>
          <w:tcPr>
            <w:tcW w:type="dxa" w:w="310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6"/>
              </w:rPr>
              <w:t>SUBMISSION_INDETERMINATE</w:t>
            </w:r>
          </w:p>
        </w:tc>
        <w:tc>
          <w:tcPr>
            <w:tcW w:type="dxa" w:w="62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Outcome unknown; M06 reconciliation required; non-terminal.</w:t>
            </w:r>
          </w:p>
        </w:tc>
      </w:tr>
      <w:tr>
        <w:trPr>
          <w:cantSplit/>
        </w:trPr>
        <w:tc>
          <w:tcPr>
            <w:tcW w:type="dxa" w:w="3100"/>
            <w:tcMar>
              <w:top w:w="100" w:type="dxa"/>
              <w:start w:w="120" w:type="dxa"/>
              <w:bottom w:w="100" w:type="dxa"/>
              <w:end w:w="120" w:type="dxa"/>
            </w:tcMar>
            <w:vAlign w:val="center"/>
          </w:tcPr>
          <w:p>
            <w:pPr>
              <w:spacing w:after="0" w:line="259" w:lineRule="auto"/>
            </w:pPr>
            <w:r>
              <w:rPr>
                <w:rFonts w:ascii="Calibri" w:hAnsi="Calibri" w:eastAsia="Calibri"/>
                <w:b/>
                <w:color w:val="243746"/>
                <w:sz w:val="16"/>
              </w:rPr>
              <w:t>VERIFIED_OUTCOME</w:t>
            </w:r>
          </w:p>
        </w:tc>
        <w:tc>
          <w:tcPr>
            <w:tcW w:type="dxa" w:w="626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Compatible verified delivery/business evidence controls.</w:t>
            </w:r>
          </w:p>
        </w:tc>
      </w:tr>
      <w:tr>
        <w:trPr>
          <w:cantSplit/>
        </w:trPr>
        <w:tc>
          <w:tcPr>
            <w:tcW w:type="dxa" w:w="310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6"/>
              </w:rPr>
              <w:t>ACCEPTANCE_CONFLICT</w:t>
            </w:r>
          </w:p>
        </w:tc>
        <w:tc>
          <w:tcPr>
            <w:tcW w:type="dxa" w:w="62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Competing provider acceptance identity; M05 resolution required.</w:t>
            </w:r>
          </w:p>
        </w:tc>
      </w:tr>
      <w:tr>
        <w:trPr>
          <w:cantSplit/>
        </w:trPr>
        <w:tc>
          <w:tcPr>
            <w:tcW w:type="dxa" w:w="3100"/>
            <w:tcMar>
              <w:top w:w="100" w:type="dxa"/>
              <w:start w:w="120" w:type="dxa"/>
              <w:bottom w:w="100" w:type="dxa"/>
              <w:end w:w="120" w:type="dxa"/>
            </w:tcMar>
            <w:vAlign w:val="center"/>
          </w:tcPr>
          <w:p>
            <w:pPr>
              <w:spacing w:after="0" w:line="259" w:lineRule="auto"/>
            </w:pPr>
            <w:r>
              <w:rPr>
                <w:rFonts w:ascii="Calibri" w:hAnsi="Calibri" w:eastAsia="Calibri"/>
                <w:b/>
                <w:color w:val="243746"/>
                <w:sz w:val="16"/>
              </w:rPr>
              <w:t>TERMINAL_OUTCOME_CONFLICT</w:t>
            </w:r>
          </w:p>
        </w:tc>
        <w:tc>
          <w:tcPr>
            <w:tcW w:type="dxa" w:w="626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Contradictory verified terminal outcomes; M05 resolution required.</w:t>
            </w:r>
          </w:p>
        </w:tc>
      </w:tr>
      <w:tr>
        <w:trPr>
          <w:cantSplit/>
        </w:trPr>
        <w:tc>
          <w:tcPr>
            <w:tcW w:type="dxa" w:w="310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6"/>
              </w:rPr>
              <w:t>CORRECTION_APPLIED</w:t>
            </w:r>
          </w:p>
        </w:tc>
        <w:tc>
          <w:tcPr>
            <w:tcW w:type="dxa" w:w="62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Authorized correction changes selected metadata or asserted-fact interpretation.</w:t>
            </w:r>
          </w:p>
        </w:tc>
      </w:tr>
      <w:tr>
        <w:trPr>
          <w:cantSplit/>
        </w:trPr>
        <w:tc>
          <w:tcPr>
            <w:tcW w:type="dxa" w:w="3100"/>
            <w:tcMar>
              <w:top w:w="100" w:type="dxa"/>
              <w:start w:w="120" w:type="dxa"/>
              <w:bottom w:w="100" w:type="dxa"/>
              <w:end w:w="120" w:type="dxa"/>
            </w:tcMar>
            <w:vAlign w:val="center"/>
          </w:tcPr>
          <w:p>
            <w:pPr>
              <w:spacing w:after="0" w:line="259" w:lineRule="auto"/>
            </w:pPr>
            <w:r>
              <w:rPr>
                <w:rFonts w:ascii="Calibri" w:hAnsi="Calibri" w:eastAsia="Calibri"/>
                <w:b/>
                <w:color w:val="243746"/>
                <w:sz w:val="16"/>
              </w:rPr>
              <w:t>CONTRACT_UNSUPPORTED</w:t>
            </w:r>
          </w:p>
        </w:tc>
        <w:tc>
          <w:tcPr>
            <w:tcW w:type="dxa" w:w="626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Unknown/incompatible contract or status; success not claimed.</w:t>
            </w:r>
          </w:p>
        </w:tc>
      </w:tr>
      <w:tr>
        <w:trPr>
          <w:cantSplit/>
        </w:trPr>
        <w:tc>
          <w:tcPr>
            <w:tcW w:type="dxa" w:w="310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6"/>
              </w:rPr>
              <w:t>INTEGRITY_INCOMPLETE</w:t>
            </w:r>
          </w:p>
        </w:tc>
        <w:tc>
          <w:tcPr>
            <w:tcW w:type="dxa" w:w="62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Required source/link/contract evidence is missing or inconsistent.</w:t>
            </w:r>
          </w:p>
        </w:tc>
      </w:tr>
    </w:tbl>
    <w:p>
      <w:pPr>
        <w:spacing w:after="40"/>
      </w:pPr>
    </w:p>
    <w:p>
      <w:pPr>
        <w:pStyle w:val="Heading2"/>
        <w:keepNext/>
      </w:pPr>
      <w:r>
        <w:t>9.3 Hybrid cache and rebuild</w:t>
      </w:r>
    </w:p>
    <w:p>
      <w:r>
        <w:rPr>
          <w:rFonts w:ascii="Calibri" w:hAnsi="Calibri" w:eastAsia="Calibri"/>
          <w:i w:val="0"/>
          <w:color w:val="243746"/>
        </w:rPr>
        <w:t>Every operation-scoped append transaction calls m02_lock_operation(operation_id) before dedupe resolution, event insertion, conflict detection, or projection work. The SECURITY DEFINER gateway performs SELECT ... FOR UPDATE on the exact operation_registry row; haloflow_runtime receives no UPDATE privilege and cannot issue the locking SELECT directly. The row lock survives return from the gateway and remains held by the surrounding TenantTransactionGateway transaction through COMMIT or ROLLBACK. After acquiring the lock under READ COMMITTED, the service loads the now-complete committed event set, appends the new fact, runs the pure engine, appends any required conflict event and outbox row, reruns the engine if generated evidence changed the set, and upserts operation_projections before COMMIT. Transactions touching multiple operations invoke the gateway for operation_id values in ascending byte order. operation_registry is the lock target because its row always exists; a projection-row upsert is not safe.</w:t>
      </w:r>
    </w:p>
    <w:p>
      <w:r>
        <w:rPr>
          <w:rFonts w:ascii="Calibri" w:hAnsi="Calibri" w:eastAsia="Calibri"/>
          <w:i w:val="0"/>
          <w:color w:val="243746"/>
        </w:rPr>
        <w:t>This per-operation critical section makes concurrent contradictory facts converge immediately to one conflict projection and one effective M05 handoff. Operations remain independent, but the complete-set fold is O(n) inside the lock; representative history-depth tests must satisfy OI-009, and any incremental optimization must produce byte-equivalent ProjectionResult and source fingerprint through the same engine.</w:t>
      </w:r>
    </w:p>
    <w:p>
      <w:r>
        <w:rPr>
          <w:rFonts w:ascii="Calibri" w:hAnsi="Calibri" w:eastAsia="Calibri"/>
          <w:i w:val="0"/>
          <w:color w:val="243746"/>
        </w:rPr>
        <w:t>An append with null operation_id is explicitly exempt from m02_lock_operation: there is no registry row and no cross-fact operation conflict to serialize. Source-event and producer-dedupe constraints protect equivalence. Such observation events remain authoritative in patient_events and patient_event_links, appear in the subject timeline, and do not create operation_projections; any current domain state belongs to the owning module's atomic state change.</w:t>
      </w:r>
    </w:p>
    <w:p>
      <w:r>
        <w:rPr>
          <w:rFonts w:ascii="Calibri" w:hAnsi="Calibri" w:eastAsia="Calibri"/>
          <w:i w:val="0"/>
          <w:color w:val="243746"/>
        </w:rPr>
        <w:t>The cache stores source_event_count, max append_sequence observed, source-set fingerprint, engine version, refreshed_at, and controlling IDs. The high sequence is a completeness diagnostic only, not a resume cursor. Reads may require cache version/freshness; when unsuitable, the service recomputes from events or returns explicit unavailable according to the consistency mode.</w:t>
      </w:r>
    </w:p>
    <w:p>
      <w:r>
        <w:rPr>
          <w:rFonts w:ascii="Calibri" w:hAnsi="Calibri" w:eastAsia="Calibri"/>
          <w:i w:val="0"/>
          <w:color w:val="243746"/>
        </w:rPr>
        <w:t>Pilot rebuild declares tenant_id, projection version, and a bounded operation/range selector. It takes a consistent database snapshot, recomputes every operation in the range, validates counts/fingerprints, and swaps or upserts derived rows. An interrupted run restarts the entire declared range. Replay disables adapters and uses idempotent or dry-run handoff comparison, so it cannot call providers or multiply downstream work.</w:t>
      </w:r>
    </w:p>
    <w:p>
      <w:pPr>
        <w:pStyle w:val="Heading1"/>
        <w:keepNext/>
      </w:pPr>
      <w:r>
        <w:t>10. Crash-durable control handoffs</w:t>
      </w:r>
    </w:p>
    <w:p>
      <w:pPr>
        <w:pStyle w:val="Heading2"/>
        <w:keepNext/>
      </w:pPr>
      <w:r>
        <w:t>10.1 Outbox record</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2700"/>
        <w:gridCol w:w="6660"/>
      </w:tblGrid>
      <w:tr>
        <w:trPr>
          <w:tblHeader w:val="true"/>
          <w:cantSplit/>
        </w:trPr>
        <w:tc>
          <w:tcPr>
            <w:tcW w:type="dxa" w:w="270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Field</w:t>
            </w:r>
          </w:p>
        </w:tc>
        <w:tc>
          <w:tcPr>
            <w:tcW w:type="dxa" w:w="666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Rule</w:t>
            </w:r>
          </w:p>
        </w:tc>
      </w:tr>
      <w:tr>
        <w:trPr>
          <w:cantSplit/>
        </w:trPr>
        <w:tc>
          <w:tcPr>
            <w:tcW w:type="dxa" w:w="27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handoff_id</w:t>
            </w:r>
          </w:p>
        </w:tc>
        <w:tc>
          <w:tcPr>
            <w:tcW w:type="dxa" w:w="666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UUID primary key; stable for dispatcher retry.</w:t>
            </w:r>
          </w:p>
        </w:tc>
      </w:tr>
      <w:tr>
        <w:trPr>
          <w:cantSplit/>
        </w:trPr>
        <w:tc>
          <w:tcPr>
            <w:tcW w:type="dxa" w:w="27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tenant_id</w:t>
            </w:r>
          </w:p>
        </w:tc>
        <w:tc>
          <w:tcPr>
            <w:tcW w:type="dxa" w:w="66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Trusted M01 context value copied structurally; never caller input.</w:t>
            </w:r>
          </w:p>
        </w:tc>
      </w:tr>
      <w:tr>
        <w:trPr>
          <w:cantSplit/>
        </w:trPr>
        <w:tc>
          <w:tcPr>
            <w:tcW w:type="dxa" w:w="27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operation_id / source_event_id</w:t>
            </w:r>
          </w:p>
        </w:tc>
        <w:tc>
          <w:tcPr>
            <w:tcW w:type="dxa" w:w="666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Tenant-bound evidence anchors; resolution revalidates against tenant schema.</w:t>
            </w:r>
          </w:p>
        </w:tc>
      </w:tr>
      <w:tr>
        <w:trPr>
          <w:cantSplit/>
        </w:trPr>
        <w:tc>
          <w:tcPr>
            <w:tcW w:type="dxa" w:w="27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handoff_kind</w:t>
            </w:r>
          </w:p>
        </w:tc>
        <w:tc>
          <w:tcPr>
            <w:tcW w:type="dxa" w:w="66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reconciliation, ordinary_failure, acceptance_conflict, delivery_conflict, event_signal, integrity_alert.</w:t>
            </w:r>
          </w:p>
        </w:tc>
      </w:tr>
      <w:tr>
        <w:trPr>
          <w:cantSplit/>
        </w:trPr>
        <w:tc>
          <w:tcPr>
            <w:tcW w:type="dxa" w:w="27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dedupe_key</w:t>
            </w:r>
          </w:p>
        </w:tc>
        <w:tc>
          <w:tcPr>
            <w:tcW w:type="dxa" w:w="666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Deterministic versioned key. M05: tenant + operation + kind. M06: tenant + operation. M11: tenant + source event + signal type.</w:t>
            </w:r>
          </w:p>
        </w:tc>
      </w:tr>
      <w:tr>
        <w:trPr>
          <w:cantSplit/>
        </w:trPr>
        <w:tc>
          <w:tcPr>
            <w:tcW w:type="dxa" w:w="27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payload</w:t>
            </w:r>
          </w:p>
        </w:tc>
        <w:tc>
          <w:tcPr>
            <w:tcW w:type="dxa" w:w="66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Versioned structural JSON only: controlled codes, pseudonymous tenant, IDs approved for internal use, no event metadata/error body.</w:t>
            </w:r>
          </w:p>
        </w:tc>
      </w:tr>
      <w:tr>
        <w:trPr>
          <w:cantSplit/>
        </w:trPr>
        <w:tc>
          <w:tcPr>
            <w:tcW w:type="dxa" w:w="27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state / attempts / available_at</w:t>
            </w:r>
          </w:p>
        </w:tc>
        <w:tc>
          <w:tcPr>
            <w:tcW w:type="dxa" w:w="666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pending, leased, delivered, dead_letter; bounded backoff; mutable operational state.</w:t>
            </w:r>
          </w:p>
        </w:tc>
      </w:tr>
      <w:tr>
        <w:trPr>
          <w:cantSplit/>
        </w:trPr>
        <w:tc>
          <w:tcPr>
            <w:tcW w:type="dxa" w:w="27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lease_owner / lease_expires_at</w:t>
            </w:r>
          </w:p>
        </w:tc>
        <w:tc>
          <w:tcPr>
            <w:tcW w:type="dxa" w:w="66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Fenced dispatcher claim; expired leases are reclaimable.</w:t>
            </w:r>
          </w:p>
        </w:tc>
      </w:tr>
      <w:tr>
        <w:trPr>
          <w:cantSplit/>
        </w:trPr>
        <w:tc>
          <w:tcPr>
            <w:tcW w:type="dxa" w:w="27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created_at / delivered_at</w:t>
            </w:r>
          </w:p>
        </w:tc>
        <w:tc>
          <w:tcPr>
            <w:tcW w:type="dxa" w:w="666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DB timestamps for commit-to-publication and backlog-age objectives.</w:t>
            </w:r>
          </w:p>
        </w:tc>
      </w:tr>
    </w:tbl>
    <w:p>
      <w:pPr>
        <w:spacing w:after="40"/>
      </w:pPr>
    </w:p>
    <w:p>
      <w:pPr>
        <w:pStyle w:val="Heading2"/>
        <w:keepNext/>
      </w:pPr>
      <w:r>
        <w:t>10.2 Delivery semantics</w:t>
      </w:r>
    </w:p>
    <w:p>
      <w:pPr>
        <w:pStyle w:val="ListBullet"/>
        <w:keepLines/>
      </w:pPr>
      <w:r>
        <w:t>The source event and required outbox row commit atomically in the tenant transaction. No in-process-only trigger satisfies the contract.</w:t>
      </w:r>
    </w:p>
    <w:p>
      <w:pPr>
        <w:pStyle w:val="ListBullet"/>
        <w:keepLines/>
      </w:pPr>
      <w:r>
        <w:t>Dispatchers enumerate tenants through a paged M01-bound scheduler in fair round-robin order, claim a bounded number of rows per tenant with SKIP LOCKED/fencing, and deliver a versioned command. Tenant enumeration and row claims are separately bounded so one tenant cannot monopolize a cycle.</w:t>
      </w:r>
    </w:p>
    <w:p>
      <w:pPr>
        <w:pStyle w:val="ListBullet"/>
        <w:keepLines/>
      </w:pPr>
      <w:r>
        <w:t>M05/M06 persist or return the effective control record under their deterministic tenant-scoped unique key before acknowledging.</w:t>
      </w:r>
    </w:p>
    <w:p>
      <w:pPr>
        <w:pStyle w:val="ListBullet"/>
        <w:keepLines/>
      </w:pPr>
      <w:r>
        <w:t>After acknowledgement, the dispatcher marks the outbox row delivered. A crash before that update repeats delivery and converges at the consumer.</w:t>
      </w:r>
    </w:p>
    <w:p>
      <w:pPr>
        <w:pStyle w:val="ListBullet"/>
        <w:keepLines/>
      </w:pPr>
      <w:r>
        <w:t>M11 signal delivery is non-authoritative; lag alerts do not change the event or repeat the external side effect.</w:t>
      </w:r>
    </w:p>
    <w:p>
      <w:pPr>
        <w:pStyle w:val="ListBullet"/>
        <w:keepLines/>
      </w:pPr>
      <w:r>
        <w:t>Dead-letter state preserves structural evidence and pages the owning module; it does not mutate the source event or falsely close a case.</w:t>
      </w:r>
    </w:p>
    <w:p>
      <w:pPr>
        <w:pStyle w:val="ListBullet"/>
        <w:keepLines/>
      </w:pPr>
      <w:r>
        <w:t>Metrics record tenant count, tenants visited, full-sweep duration, oldest pending age, rows claimed, empty-query ratio, and commit-to-publication latency. Architecture review is triggered when tenant growth or sweep duration breaches an OI-009 objective; any shared pending-tenant hint requires M01 classification, non-authoritative repair logic, and architecture approval.</w:t>
      </w:r>
    </w:p>
    <w:p>
      <w:pPr>
        <w:pStyle w:val="Heading1"/>
        <w:keepNext/>
      </w:pPr>
      <w:r>
        <w:t>11. Query, pagination, and authorization</w:t>
      </w:r>
    </w:p>
    <w:p>
      <w:pPr>
        <w:pStyle w:val="Heading2"/>
        <w:keepNext/>
      </w:pPr>
      <w:r>
        <w:t>11.1 Operation projection reads</w:t>
      </w:r>
    </w:p>
    <w:p>
      <w:r>
        <w:rPr>
          <w:rFonts w:ascii="Calibri" w:hAnsi="Calibri" w:eastAsia="Calibri"/>
          <w:i w:val="0"/>
          <w:color w:val="243746"/>
        </w:rPr>
        <w:t>getOperationProjection accepts only an operation_id inside an authorized TenantContext. It validates the operation/subject capability, enforces the requested consistency mode, and returns no provider/event metadata unless the caller has an approved support or clinical view capability. A missing operation uses non-enumerable behavior consistent with M01.</w:t>
      </w:r>
    </w:p>
    <w:p>
      <w:pPr>
        <w:pStyle w:val="Heading2"/>
        <w:keepNext/>
      </w:pPr>
      <w:r>
        <w:t>11.2 Bulk projection</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2400"/>
        <w:gridCol w:w="2450"/>
        <w:gridCol w:w="4510"/>
      </w:tblGrid>
      <w:tr>
        <w:trPr>
          <w:tblHeader w:val="true"/>
          <w:cantSplit/>
        </w:trPr>
        <w:tc>
          <w:tcPr>
            <w:tcW w:type="dxa" w:w="240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Selector</w:t>
            </w:r>
          </w:p>
        </w:tc>
        <w:tc>
          <w:tcPr>
            <w:tcW w:type="dxa" w:w="245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Bound</w:t>
            </w:r>
          </w:p>
        </w:tc>
        <w:tc>
          <w:tcPr>
            <w:tcW w:type="dxa" w:w="451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Stable order / cursor</w:t>
            </w:r>
          </w:p>
        </w:tc>
      </w:tr>
      <w:tr>
        <w:trPr>
          <w:cantSplit/>
        </w:trPr>
        <w:tc>
          <w:tcPr>
            <w:tcW w:type="dxa" w:w="24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operation_ids</w:t>
            </w:r>
          </w:p>
        </w:tc>
        <w:tc>
          <w:tcPr>
            <w:tcW w:type="dxa" w:w="245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Maximum 200 IDs per request baseline</w:t>
            </w:r>
          </w:p>
        </w:tc>
        <w:tc>
          <w:tcPr>
            <w:tcW w:type="dxa" w:w="451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Caller order echoed with per-item result; one tenant only.</w:t>
            </w:r>
          </w:p>
        </w:tc>
      </w:tr>
      <w:tr>
        <w:trPr>
          <w:cantSplit/>
        </w:trPr>
        <w:tc>
          <w:tcPr>
            <w:tcW w:type="dxa" w:w="24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batch/run link</w:t>
            </w:r>
          </w:p>
        </w:tc>
        <w:tc>
          <w:tcPr>
            <w:tcW w:type="dxa" w:w="24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Maximum 500 results/page baseline</w:t>
            </w:r>
          </w:p>
        </w:tc>
        <w:tc>
          <w:tcPr>
            <w:tcW w:type="dxa" w:w="45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business link + operation_id; opaque cursor binds tenant, selector hash, sort key, projection version.</w:t>
            </w:r>
          </w:p>
        </w:tc>
      </w:tr>
      <w:tr>
        <w:trPr>
          <w:cantSplit/>
        </w:trPr>
        <w:tc>
          <w:tcPr>
            <w:tcW w:type="dxa" w:w="24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approved queue selector</w:t>
            </w:r>
          </w:p>
        </w:tc>
        <w:tc>
          <w:tcPr>
            <w:tcW w:type="dxa" w:w="245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Maximum 200 results/page baseline</w:t>
            </w:r>
          </w:p>
        </w:tc>
        <w:tc>
          <w:tcPr>
            <w:tcW w:type="dxa" w:w="451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queue sort key + operation_id; queue authorization checked by owner.</w:t>
            </w:r>
          </w:p>
        </w:tc>
      </w:tr>
    </w:tbl>
    <w:p>
      <w:pPr>
        <w:spacing w:after="40"/>
      </w:pPr>
    </w:p>
    <w:p>
      <w:r>
        <w:rPr>
          <w:rFonts w:ascii="Calibri" w:hAnsi="Calibri" w:eastAsia="Calibri"/>
          <w:i w:val="0"/>
          <w:color w:val="243746"/>
        </w:rPr>
        <w:t>Numeric bounds are conservative implementation defaults pending M02-OI-009 production-like testing. Every page declares generated_at, projection_engine_version, freshness policy, and per-item errors. A cursor is signed, expires, cannot change tenant/selector, and does not expose schema or PHI.</w:t>
      </w:r>
    </w:p>
    <w:p>
      <w:pPr>
        <w:pStyle w:val="Heading2"/>
        <w:keepNext/>
      </w:pPr>
      <w:r>
        <w:t>11.3 Subject timeline</w:t>
      </w:r>
    </w:p>
    <w:p>
      <w:r>
        <w:rPr>
          <w:rFonts w:ascii="Calibri" w:hAnsi="Calibri" w:eastAsia="Calibri"/>
          <w:i w:val="0"/>
          <w:color w:val="243746"/>
        </w:rPr>
        <w:t>Timeline ordering is occurred_at when trusted, otherwise created_at, with append_sequence as the stable final key. This display order does not replace projection conflict rules. The default view exposes event type, normalized status, structural timestamps, correction relationship, and masked provenance; metadata fields require a contract-specific view capability and are filtered field by field.</w:t>
      </w:r>
    </w:p>
    <w:p>
      <w:pPr>
        <w:pStyle w:val="Heading2"/>
        <w:keepNext/>
      </w:pPr>
      <w:r>
        <w:t>11.4 Stale-intent evidence query</w:t>
      </w:r>
    </w:p>
    <w:p>
      <w:r>
        <w:rPr>
          <w:rFonts w:ascii="Calibri" w:hAnsi="Calibri" w:eastAsia="Calibri"/>
          <w:i w:val="0"/>
          <w:color w:val="243746"/>
        </w:rPr>
        <w:t>listStaleIntents is the M02-owned evidence contract used by the M06-owned scheduled detector. Within one authorized tenant, it anti-joins committed intent events against every qualifying submission fact, excludes already resolved or superseded candidates, and returns only rows whose created_at is older than the caller's approved cutoff. It reads authoritative events rather than projection cache state. Discovery never changes projection and never authorizes a provider resend.</w:t>
      </w:r>
    </w:p>
    <w:p>
      <w:r>
        <w:rPr>
          <w:rFonts w:ascii="Calibri" w:hAnsi="Calibri" w:eastAsia="Calibri"/>
          <w:i w:val="0"/>
          <w:color w:val="243746"/>
        </w:rPr>
        <w:t>The baseline page limit is 200 pending OI-009. Stable order is requested_event.created_at then operation_id; the signed cursor binds tenant, cutoff, action selector, contract snapshot, and page boundary. M06 revalidates the candidate and performs provider lookup when supported, then uses recordSubmissionOutcome with a deterministic stale-detector producer key to append submission_indeterminate and its M06 outbox row idempotently when outcome remains unknown.</w:t>
      </w:r>
    </w:p>
    <w:p>
      <w:pPr>
        <w:pStyle w:val="Heading1"/>
        <w:keepNext/>
      </w:pPr>
      <w:r>
        <w:t>12. Corrections, manual resolution, and privileged evidence</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2100"/>
        <w:gridCol w:w="4550"/>
        <w:gridCol w:w="2710"/>
      </w:tblGrid>
      <w:tr>
        <w:trPr>
          <w:tblHeader w:val="true"/>
          <w:cantSplit/>
        </w:trPr>
        <w:tc>
          <w:tcPr>
            <w:tcW w:type="dxa" w:w="210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Action</w:t>
            </w:r>
          </w:p>
        </w:tc>
        <w:tc>
          <w:tcPr>
            <w:tcW w:type="dxa" w:w="455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Required controls</w:t>
            </w:r>
          </w:p>
        </w:tc>
        <w:tc>
          <w:tcPr>
            <w:tcW w:type="dxa" w:w="271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Projection effect</w:t>
            </w:r>
          </w:p>
        </w:tc>
      </w:tr>
      <w:tr>
        <w:trPr>
          <w:cantSplit/>
        </w:trPr>
        <w:tc>
          <w:tcPr>
            <w:tcW w:type="dxa" w:w="21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Metadata correction</w:t>
            </w:r>
          </w:p>
        </w:tc>
        <w:tc>
          <w:tcPr>
            <w:tcW w:type="dxa" w:w="455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Correction capability, actor/workload, reason, corrected_event_id, replacement allowlisted fields, audit record.</w:t>
            </w:r>
          </w:p>
        </w:tc>
        <w:tc>
          <w:tcPr>
            <w:tcW w:type="dxa" w:w="271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Original fact remains; selected metadata view is superseded.</w:t>
            </w:r>
          </w:p>
        </w:tc>
      </w:tr>
      <w:tr>
        <w:trPr>
          <w:cantSplit/>
        </w:trPr>
        <w:tc>
          <w:tcPr>
            <w:tcW w:type="dxa" w:w="21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Asserted-fact correction</w:t>
            </w:r>
          </w:p>
        </w:tc>
        <w:tc>
          <w:tcPr>
            <w:tcW w:type="dxa" w:w="45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Enhanced capability, evidence source, reason, affected assertion, two-person approval where policy requires.</w:t>
            </w:r>
          </w:p>
        </w:tc>
        <w:tc>
          <w:tcPr>
            <w:tcW w:type="dxa" w:w="27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Projection excludes/supersedes the corrected assertion according to contract.</w:t>
            </w:r>
          </w:p>
        </w:tc>
      </w:tr>
      <w:tr>
        <w:trPr>
          <w:cantSplit/>
        </w:trPr>
        <w:tc>
          <w:tcPr>
            <w:tcW w:type="dxa" w:w="21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Manual resolution</w:t>
            </w:r>
          </w:p>
        </w:tc>
        <w:tc>
          <w:tcPr>
            <w:tcW w:type="dxa" w:w="455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M05 case, actor, evidence source, controlled resolution path, event link, audit.</w:t>
            </w:r>
          </w:p>
        </w:tc>
        <w:tc>
          <w:tcPr>
            <w:tcW w:type="dxa" w:w="271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Appended resolution event becomes controlling only under versioned rule.</w:t>
            </w:r>
          </w:p>
        </w:tc>
      </w:tr>
      <w:tr>
        <w:trPr>
          <w:cantSplit/>
        </w:trPr>
        <w:tc>
          <w:tcPr>
            <w:tcW w:type="dxa" w:w="21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Authorized resend</w:t>
            </w:r>
          </w:p>
        </w:tc>
        <w:tc>
          <w:tcPr>
            <w:tcW w:type="dxa" w:w="45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Explicit warning/acknowledgement, actor, reason, original operation, owning-module new business key.</w:t>
            </w:r>
          </w:p>
        </w:tc>
        <w:tc>
          <w:tcPr>
            <w:tcW w:type="dxa" w:w="27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New operation_id linked by resend_of_operation_id; original remains indeterminate/history.</w:t>
            </w:r>
          </w:p>
        </w:tc>
      </w:tr>
      <w:tr>
        <w:trPr>
          <w:cantSplit/>
        </w:trPr>
        <w:tc>
          <w:tcPr>
            <w:tcW w:type="dxa" w:w="21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Export/disposition</w:t>
            </w:r>
          </w:p>
        </w:tc>
        <w:tc>
          <w:tcPr>
            <w:tcW w:type="dxa" w:w="455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Purpose-specific identity, legal-hold check, approved scope, completion evidence, access audit.</w:t>
            </w:r>
          </w:p>
        </w:tc>
        <w:tc>
          <w:tcPr>
            <w:tcW w:type="dxa" w:w="271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No ordinary projection change; archival access behavior follows policy.</w:t>
            </w:r>
          </w:p>
        </w:tc>
      </w:tr>
    </w:tbl>
    <w:p>
      <w:pPr>
        <w:spacing w:after="40"/>
      </w:pPr>
    </w:p>
    <w:p>
      <w:pPr>
        <w:spacing w:before="100" w:after="180" w:line="259" w:lineRule="auto"/>
        <w:ind w:left="173" w:right="173"/>
        <w:shd w:fill="FCE8E6"/>
        <w:pBdr>
          <w:left w:val="single" w:sz="18" w:space="8" w:color="9B1C1C"/>
        </w:pBdr>
        <w:keepLines/>
      </w:pPr>
      <w:r>
        <w:rPr>
          <w:rFonts w:ascii="Calibri" w:hAnsi="Calibri" w:eastAsia="Calibri"/>
          <w:b/>
          <w:color w:val="9B1C1C"/>
        </w:rPr>
        <w:t xml:space="preserve">Integrity rule. </w:t>
      </w:r>
      <w:r>
        <w:rPr>
          <w:rFonts w:ascii="Calibri" w:hAnsi="Calibri" w:eastAsia="Calibri"/>
          <w:color w:val="243746"/>
        </w:rPr>
        <w:t>No privileged workflow edits patient_events in place. If policy authorizes physical archival or lawful destruction, it must preserve attributable disposition/tombstone evidence and cannot use runtime credentials.</w:t>
      </w:r>
    </w:p>
    <w:p>
      <w:pPr>
        <w:pStyle w:val="Heading1"/>
        <w:keepNext/>
      </w:pPr>
      <w:r>
        <w:t>13. Security and privacy design</w:t>
      </w:r>
    </w:p>
    <w:p>
      <w:pPr>
        <w:pStyle w:val="Heading2"/>
        <w:keepNext/>
      </w:pPr>
      <w:r>
        <w:t>13.1 Roles and grants</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2200"/>
        <w:gridCol w:w="4110"/>
        <w:gridCol w:w="3050"/>
      </w:tblGrid>
      <w:tr>
        <w:trPr>
          <w:tblHeader w:val="true"/>
          <w:cantSplit/>
        </w:trPr>
        <w:tc>
          <w:tcPr>
            <w:tcW w:type="dxa" w:w="220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Role / identity</w:t>
            </w:r>
          </w:p>
        </w:tc>
        <w:tc>
          <w:tcPr>
            <w:tcW w:type="dxa" w:w="411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Allowed</w:t>
            </w:r>
          </w:p>
        </w:tc>
        <w:tc>
          <w:tcPr>
            <w:tcW w:type="dxa" w:w="305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Explicitly denied</w:t>
            </w:r>
          </w:p>
        </w:tc>
      </w:tr>
      <w:tr>
        <w:trPr>
          <w:cantSplit/>
        </w:trPr>
        <w:tc>
          <w:tcPr>
            <w:tcW w:type="dxa" w:w="22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haloflow_runtime</w:t>
            </w:r>
          </w:p>
        </w:tc>
        <w:tc>
          <w:tcPr>
            <w:tcW w:type="dxa" w:w="41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Execute approved M02 procedures, including the two lock gateways; read projections/timelines/stale-intent pages by tenant capability; request tenant key operations through KeyProvider.</w:t>
            </w:r>
          </w:p>
        </w:tc>
        <w:tc>
          <w:tcPr>
            <w:tcW w:type="dxa" w:w="30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Raw table INSERT/UPDATE/DELETE/TRUNCATE; direct SELECT FOR UPDATE/KEY SHARE; direct key material; reference administration; correction/export/disposition.</w:t>
            </w:r>
          </w:p>
        </w:tc>
      </w:tr>
      <w:tr>
        <w:trPr>
          <w:cantSplit/>
        </w:trPr>
        <w:tc>
          <w:tcPr>
            <w:tcW w:type="dxa" w:w="22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haloflow_m02_lock_owner</w:t>
            </w:r>
          </w:p>
        </w:tc>
        <w:tc>
          <w:tcPr>
            <w:tcW w:type="dxa" w:w="41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NOLOGIN owner of m02_lock_operation, m02_begin_key_scope, and m02_rotate_key_version; acquire exact-row locks and return minimum structural values under a fixed safe search_path.</w:t>
            </w:r>
          </w:p>
        </w:tc>
        <w:tc>
          <w:tcPr>
            <w:tcW w:type="dxa" w:w="30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Application login; provider calls; dynamic SQL or caller schema; broad data return; ordinary event mutation; PUBLIC EXECUTE.</w:t>
            </w:r>
          </w:p>
        </w:tc>
      </w:tr>
      <w:tr>
        <w:trPr>
          <w:cantSplit/>
        </w:trPr>
        <w:tc>
          <w:tcPr>
            <w:tcW w:type="dxa" w:w="22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haloflow_key_provider</w:t>
            </w:r>
          </w:p>
        </w:tc>
        <w:tc>
          <w:tcPr>
            <w:tcW w:type="dxa" w:w="41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Read approved tenant/version key envelopes and invoke Cloud KMS decrypt/derive for the requested tenant scope.</w:t>
            </w:r>
          </w:p>
        </w:tc>
        <w:tc>
          <w:tcPr>
            <w:tcW w:type="dxa" w:w="30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Database mutation, provider calls, cross-tenant bulk key access, key export, or logging plaintext key material.</w:t>
            </w:r>
          </w:p>
        </w:tc>
      </w:tr>
      <w:tr>
        <w:trPr>
          <w:cantSplit/>
        </w:trPr>
        <w:tc>
          <w:tcPr>
            <w:tcW w:type="dxa" w:w="22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haloflow_projection_worker</w:t>
            </w:r>
          </w:p>
        </w:tc>
        <w:tc>
          <w:tcPr>
            <w:tcW w:type="dxa" w:w="41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Read tenant events and upsert derived projection rows through bounded rebuild procedure.</w:t>
            </w:r>
          </w:p>
        </w:tc>
        <w:tc>
          <w:tcPr>
            <w:tcW w:type="dxa" w:w="30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Provider calls, event mutation, cross-tenant query in one transaction.</w:t>
            </w:r>
          </w:p>
        </w:tc>
      </w:tr>
      <w:tr>
        <w:trPr>
          <w:cantSplit/>
        </w:trPr>
        <w:tc>
          <w:tcPr>
            <w:tcW w:type="dxa" w:w="22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haloflow_handoff_dispatcher</w:t>
            </w:r>
          </w:p>
        </w:tc>
        <w:tc>
          <w:tcPr>
            <w:tcW w:type="dxa" w:w="41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Lease/update outbox operational fields and deliver structural commands/signals.</w:t>
            </w:r>
          </w:p>
        </w:tc>
        <w:tc>
          <w:tcPr>
            <w:tcW w:type="dxa" w:w="30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Event metadata access beyond required structural fields; source event mutation.</w:t>
            </w:r>
          </w:p>
        </w:tc>
      </w:tr>
      <w:tr>
        <w:trPr>
          <w:cantSplit/>
        </w:trPr>
        <w:tc>
          <w:tcPr>
            <w:tcW w:type="dxa" w:w="22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haloflow_correction</w:t>
            </w:r>
          </w:p>
        </w:tc>
        <w:tc>
          <w:tcPr>
            <w:tcW w:type="dxa" w:w="41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Append approved correction/manual-resolution event through restricted gateway; write privileged audit evidence.</w:t>
            </w:r>
          </w:p>
        </w:tc>
        <w:tc>
          <w:tcPr>
            <w:tcW w:type="dxa" w:w="30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Update/delete originals; unscoped tenant switching; correction without reason/evidence.</w:t>
            </w:r>
          </w:p>
        </w:tc>
      </w:tr>
      <w:tr>
        <w:trPr>
          <w:cantSplit/>
        </w:trPr>
        <w:tc>
          <w:tcPr>
            <w:tcW w:type="dxa" w:w="22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haloflow_event_disposition</w:t>
            </w:r>
          </w:p>
        </w:tc>
        <w:tc>
          <w:tcPr>
            <w:tcW w:type="dxa" w:w="41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Approved archival/export/destruction under legal-hold and audit controls.</w:t>
            </w:r>
          </w:p>
        </w:tc>
        <w:tc>
          <w:tcPr>
            <w:tcW w:type="dxa" w:w="30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Ordinary runtime use or silent evidence removal.</w:t>
            </w:r>
          </w:p>
        </w:tc>
      </w:tr>
      <w:tr>
        <w:trPr>
          <w:cantSplit/>
        </w:trPr>
        <w:tc>
          <w:tcPr>
            <w:tcW w:type="dxa" w:w="22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haloflow_migrator</w:t>
            </w:r>
          </w:p>
        </w:tc>
        <w:tc>
          <w:tcPr>
            <w:tcW w:type="dxa" w:w="41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Install schema, references, contracts, indexes, grants, and compatibility checks.</w:t>
            </w:r>
          </w:p>
        </w:tc>
        <w:tc>
          <w:tcPr>
            <w:tcW w:type="dxa" w:w="30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Business workflow execution or support use.</w:t>
            </w:r>
          </w:p>
        </w:tc>
      </w:tr>
    </w:tbl>
    <w:p>
      <w:pPr>
        <w:spacing w:after="40"/>
      </w:pPr>
    </w:p>
    <w:p>
      <w:pPr>
        <w:pStyle w:val="Heading2"/>
        <w:keepNext/>
      </w:pPr>
      <w:r>
        <w:t>13.2 Threat controls</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2300"/>
        <w:gridCol w:w="4000"/>
        <w:gridCol w:w="3060"/>
      </w:tblGrid>
      <w:tr>
        <w:trPr>
          <w:tblHeader w:val="true"/>
          <w:cantSplit/>
        </w:trPr>
        <w:tc>
          <w:tcPr>
            <w:tcW w:type="dxa" w:w="230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Threat / failure mode</w:t>
            </w:r>
          </w:p>
        </w:tc>
        <w:tc>
          <w:tcPr>
            <w:tcW w:type="dxa" w:w="400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Prevention</w:t>
            </w:r>
          </w:p>
        </w:tc>
        <w:tc>
          <w:tcPr>
            <w:tcW w:type="dxa" w:w="306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Detection / containment</w:t>
            </w:r>
          </w:p>
        </w:tc>
      </w:tr>
      <w:tr>
        <w:trPr>
          <w:cantSplit/>
        </w:trPr>
        <w:tc>
          <w:tcPr>
            <w:tcW w:type="dxa" w:w="23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Cross-tenant event/link</w:t>
            </w:r>
          </w:p>
        </w:tc>
        <w:tc>
          <w:tcPr>
            <w:tcW w:type="dxa" w:w="40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M01 context; tenant-local repositories; verified link resolvers; no schema argument.</w:t>
            </w:r>
          </w:p>
        </w:tc>
        <w:tc>
          <w:tcPr>
            <w:tcW w:type="dxa" w:w="306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Negative tests, security alert, non-enumerable response.</w:t>
            </w:r>
          </w:p>
        </w:tc>
      </w:tr>
      <w:tr>
        <w:trPr>
          <w:cantSplit/>
        </w:trPr>
        <w:tc>
          <w:tcPr>
            <w:tcW w:type="dxa" w:w="23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Side effect without intent</w:t>
            </w:r>
          </w:p>
        </w:tc>
        <w:tc>
          <w:tcPr>
            <w:tcW w:type="dxa" w:w="40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Adapter contract requires committed OperationStart; owner code rule and fault injection.</w:t>
            </w:r>
          </w:p>
        </w:tc>
        <w:tc>
          <w:tcPr>
            <w:tcW w:type="dxa" w:w="30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Stale provider registry/reconciliation anomaly and release-blocking tests.</w:t>
            </w:r>
          </w:p>
        </w:tc>
      </w:tr>
      <w:tr>
        <w:trPr>
          <w:cantSplit/>
        </w:trPr>
        <w:tc>
          <w:tcPr>
            <w:tcW w:type="dxa" w:w="23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Duplicate side effect</w:t>
            </w:r>
          </w:p>
        </w:tc>
        <w:tc>
          <w:tcPr>
            <w:tcW w:type="dxa" w:w="40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Stable operation_id as provider key; operation business fingerprint; owner retry contract.</w:t>
            </w:r>
          </w:p>
        </w:tc>
        <w:tc>
          <w:tcPr>
            <w:tcW w:type="dxa" w:w="306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Acceptance conflict metric, provider lookup, staff review.</w:t>
            </w:r>
          </w:p>
        </w:tc>
      </w:tr>
      <w:tr>
        <w:trPr>
          <w:cantSplit/>
        </w:trPr>
        <w:tc>
          <w:tcPr>
            <w:tcW w:type="dxa" w:w="23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Evidence mutation</w:t>
            </w:r>
          </w:p>
        </w:tc>
        <w:tc>
          <w:tcPr>
            <w:tcW w:type="dxa" w:w="40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Append-only grants; separated privileged identities; database auditing.</w:t>
            </w:r>
          </w:p>
        </w:tc>
        <w:tc>
          <w:tcPr>
            <w:tcW w:type="dxa" w:w="30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Integrity reconciliation, privileged audit, immutable backup/export evidence.</w:t>
            </w:r>
          </w:p>
        </w:tc>
      </w:tr>
      <w:tr>
        <w:trPr>
          <w:cantSplit/>
        </w:trPr>
        <w:tc>
          <w:tcPr>
            <w:tcW w:type="dxa" w:w="23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Lock privilege escalation</w:t>
            </w:r>
          </w:p>
        </w:tc>
        <w:tc>
          <w:tcPr>
            <w:tcW w:type="dxa" w:w="40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Runtime has EXECUTE only; dedicated NOLOGIN SECURITY DEFINER owner; fixed safe search_path; schema-qualified exact-row statements; PUBLIC revoked.</w:t>
            </w:r>
          </w:p>
        </w:tc>
        <w:tc>
          <w:tcPr>
            <w:tcW w:type="dxa" w:w="306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Grant-manifest diff, procedure checksum, direct-lock denial test, and audit of definer changes.</w:t>
            </w:r>
          </w:p>
        </w:tc>
      </w:tr>
      <w:tr>
        <w:trPr>
          <w:cantSplit/>
        </w:trPr>
        <w:tc>
          <w:tcPr>
            <w:tcW w:type="dxa" w:w="23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Forged producer/source</w:t>
            </w:r>
          </w:p>
        </w:tc>
        <w:tc>
          <w:tcPr>
            <w:tcW w:type="dxa" w:w="40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Workload identity and capability; source namespace contract; M03 verification boundary.</w:t>
            </w:r>
          </w:p>
        </w:tc>
        <w:tc>
          <w:tcPr>
            <w:tcW w:type="dxa" w:w="30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Producer/status mismatch alert; quarantine unsupported fact.</w:t>
            </w:r>
          </w:p>
        </w:tc>
      </w:tr>
      <w:tr>
        <w:trPr>
          <w:cantSplit/>
        </w:trPr>
        <w:tc>
          <w:tcPr>
            <w:tcW w:type="dxa" w:w="23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PHI leakage</w:t>
            </w:r>
          </w:p>
        </w:tc>
        <w:tc>
          <w:tcPr>
            <w:tcW w:type="dxa" w:w="40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Metadata JSON Schema/size; field allowlists; masked views; structural-only outbox/log signal.</w:t>
            </w:r>
          </w:p>
        </w:tc>
        <w:tc>
          <w:tcPr>
            <w:tcW w:type="dxa" w:w="306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Automated prohibited-field scanning and privacy review.</w:t>
            </w:r>
          </w:p>
        </w:tc>
      </w:tr>
      <w:tr>
        <w:trPr>
          <w:cantSplit/>
        </w:trPr>
        <w:tc>
          <w:tcPr>
            <w:tcW w:type="dxa" w:w="23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Projection deception</w:t>
            </w:r>
          </w:p>
        </w:tc>
        <w:tc>
          <w:tcPr>
            <w:tcW w:type="dxa" w:w="40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Pure versioned engine; source fingerprint; unknown/conflict never success; cache rebuildable.</w:t>
            </w:r>
          </w:p>
        </w:tc>
        <w:tc>
          <w:tcPr>
            <w:tcW w:type="dxa" w:w="30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Live-vs-rebuild comparison, explanation and version metrics.</w:t>
            </w:r>
          </w:p>
        </w:tc>
      </w:tr>
      <w:tr>
        <w:trPr>
          <w:cantSplit/>
        </w:trPr>
        <w:tc>
          <w:tcPr>
            <w:tcW w:type="dxa" w:w="23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Correction abuse</w:t>
            </w:r>
          </w:p>
        </w:tc>
        <w:tc>
          <w:tcPr>
            <w:tcW w:type="dxa" w:w="40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Restricted capability, attribution, evidence, reason, optional dual approval.</w:t>
            </w:r>
          </w:p>
        </w:tc>
        <w:tc>
          <w:tcPr>
            <w:tcW w:type="dxa" w:w="306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Volume/outlier alert and retrospective review.</w:t>
            </w:r>
          </w:p>
        </w:tc>
      </w:tr>
      <w:tr>
        <w:trPr>
          <w:cantSplit/>
        </w:trPr>
        <w:tc>
          <w:tcPr>
            <w:tcW w:type="dxa" w:w="23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Replay side effect</w:t>
            </w:r>
          </w:p>
        </w:tc>
        <w:tc>
          <w:tcPr>
            <w:tcW w:type="dxa" w:w="40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Replay runtime has no adapter capability; dry-run/idempotent handoff compare.</w:t>
            </w:r>
          </w:p>
        </w:tc>
        <w:tc>
          <w:tcPr>
            <w:tcW w:type="dxa" w:w="30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Provider-call canary assertion and replay audit.</w:t>
            </w:r>
          </w:p>
        </w:tc>
      </w:tr>
      <w:tr>
        <w:trPr>
          <w:cantSplit/>
        </w:trPr>
        <w:tc>
          <w:tcPr>
            <w:tcW w:type="dxa" w:w="23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Business-key key loss/rotation</w:t>
            </w:r>
          </w:p>
        </w:tc>
        <w:tc>
          <w:tcPr>
            <w:tcW w:type="dxa" w:w="40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Database-controlled active version, retained key envelopes, bounded tenant/version cache, protected backup and restore.</w:t>
            </w:r>
          </w:p>
        </w:tc>
        <w:tc>
          <w:tcPr>
            <w:tcW w:type="dxa" w:w="306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Fail-closed beginOperation, key-availability alert, rotation canary, lookup-continuity test.</w:t>
            </w:r>
          </w:p>
        </w:tc>
      </w:tr>
    </w:tbl>
    <w:p>
      <w:pPr>
        <w:spacing w:after="40"/>
      </w:pPr>
    </w:p>
    <w:p>
      <w:pPr>
        <w:pStyle w:val="Heading2"/>
        <w:keepNext/>
      </w:pPr>
      <w:r>
        <w:t>13.3 Business-key HMAC custody and lifecycle</w:t>
      </w:r>
    </w:p>
    <w:p>
      <w:pPr>
        <w:pStyle w:val="ListBullet"/>
        <w:keepLines/>
      </w:pPr>
      <w:r>
        <w:t>KeyProvider obtains tenant/version-specific HMAC key material from a Cloud KMS-protected envelope under a dedicated workload identity. The database stores only key version and control metadata; key bytes, raw business keys, and fingerprints never enter logs or central telemetry.</w:t>
      </w:r>
    </w:p>
    <w:p>
      <w:pPr>
        <w:pStyle w:val="ListBullet"/>
        <w:keepLines/>
      </w:pPr>
      <w:r>
        <w:t>Decrypted keys may be cached in process for at most 15 minutes, keyed by tenant_id plus version, zeroized on eviction, excluded from crash dumps, and invalidated on rotation notification. A cache miss or expired entry requires successful KMS access; otherwise beginOperation fails closed before any provider call.</w:t>
      </w:r>
    </w:p>
    <w:p>
      <w:pPr>
        <w:pStyle w:val="ListBullet"/>
        <w:keepLines/>
      </w:pPr>
      <w:r>
        <w:t>Rotation uses expand -&gt; register target -&gt; verify live producer compatibility -&gt; atomic active-version flip -&gt; retained lookup -&gt; contract. Each authorized producer registers its workload identity, deployment generation, supported key versions, and expiring heartbeat at startup. m02_rotate_key_version refuses the flip unless the deployment controller has attested completion of the target generation and every live required producer registration supports the target; stale, missing, or unsupported registrations fail the gate and alert. m02_begin_key_scope holds FOR KEY SHARE on the control row while rotation holds FOR UPDATE, so the flip waits for in-flight writers and no old-version write can race a new-version write.</w:t>
      </w:r>
    </w:p>
    <w:p>
      <w:pPr>
        <w:pStyle w:val="ListBullet"/>
        <w:keepLines/>
      </w:pPr>
      <w:r>
        <w:t>Retained key envelopes remain recoverable for at least the maximum operation lifetime and the approved backup window. Deletion requires evidence that no live or recoverable operation depends on the version, legal/retention approval, and a restore drill. If a required key is lost or cannot be restored, operation acquisition stops; the system never silently substitutes a new key or creates replacement operation IDs.</w:t>
      </w:r>
    </w:p>
    <w:p>
      <w:pPr>
        <w:pStyle w:val="Heading2"/>
        <w:keepNext/>
      </w:pPr>
      <w:r>
        <w:t>13.4 Minimum-necessary metadata</w:t>
      </w:r>
    </w:p>
    <w:p>
      <w:pPr>
        <w:pStyle w:val="ListBullet"/>
        <w:keepLines/>
      </w:pPr>
      <w:r>
        <w:t>Prohibited in generic metadata and central signals: raw provider payloads, message/fax content, full phone numbers, names, dates of birth, diagnosis data, secrets, tokens, unrestricted URLs, raw SQL, stack traces, and free-text error bodies.</w:t>
      </w:r>
    </w:p>
    <w:p>
      <w:pPr>
        <w:pStyle w:val="ListBullet"/>
        <w:keepLines/>
      </w:pPr>
      <w:r>
        <w:t>Permitted only by an approved event contract: controlled enums, bounded numeric measures, last-four digits where explicitly justified, sanitized provider code, masked resource class, and structural version/provenance data.</w:t>
      </w:r>
    </w:p>
    <w:p>
      <w:pPr>
        <w:pStyle w:val="ListBullet"/>
        <w:keepLines/>
      </w:pPr>
      <w:r>
        <w:t>Full sanitized operational detail needed for tenant support remains in tenant Cloud SQL under contract-specific fields and view permissions, not in Cloud Logging.</w:t>
      </w:r>
    </w:p>
    <w:p>
      <w:pPr>
        <w:pStyle w:val="ListBullet"/>
        <w:keepLines/>
      </w:pPr>
      <w:r>
        <w:t>Every shared M02 column is registered in the M01 machine-readable classification manifest; CI rejects missing classification or PHI without an approved exception.</w:t>
      </w:r>
    </w:p>
    <w:p>
      <w:pPr>
        <w:pStyle w:val="Heading2"/>
        <w:keepNext/>
      </w:pPr>
      <w:r>
        <w:t>13.5 Retention-locked export evidence</w:t>
      </w:r>
    </w:p>
    <w:p>
      <w:r>
        <w:rPr>
          <w:rFonts w:ascii="Calibri" w:hAnsi="Calibri" w:eastAsia="Calibri"/>
          <w:i w:val="0"/>
          <w:color w:val="243746"/>
        </w:rPr>
        <w:t>Under the approved D-09 v1 baseline, immutable export evidence means an encrypted Cloud Storage export written under a retention-locked bucket policy with object versioning and access logging. Each export has a separately stored signed manifest containing tenant scope, declared event range, schema/contract versions, row counts, canonical file digests, export time, producing identity, legal-hold state, and verification result; the manifest contains no event payload or PHI. Restore and digest verification are exercised before pilot; a control failure reopens OI-010. FR-026 policy still controls archival and lawful disposition.</w:t>
      </w:r>
    </w:p>
    <w:p>
      <w:pPr>
        <w:pStyle w:val="Heading1"/>
        <w:keepNext/>
      </w:pPr>
      <w:r>
        <w:t>14. Failure behavior and error taxonomy</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2400"/>
        <w:gridCol w:w="3150"/>
        <w:gridCol w:w="3810"/>
      </w:tblGrid>
      <w:tr>
        <w:trPr>
          <w:tblHeader w:val="true"/>
          <w:cantSplit/>
        </w:trPr>
        <w:tc>
          <w:tcPr>
            <w:tcW w:type="dxa" w:w="240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Condition</w:t>
            </w:r>
          </w:p>
        </w:tc>
        <w:tc>
          <w:tcPr>
            <w:tcW w:type="dxa" w:w="315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Caller behavior</w:t>
            </w:r>
          </w:p>
        </w:tc>
        <w:tc>
          <w:tcPr>
            <w:tcW w:type="dxa" w:w="381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Durable / operational action</w:t>
            </w:r>
          </w:p>
        </w:tc>
      </w:tr>
      <w:tr>
        <w:trPr>
          <w:cantSplit/>
        </w:trPr>
        <w:tc>
          <w:tcPr>
            <w:tcW w:type="dxa" w:w="24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Intent commit fails</w:t>
            </w:r>
          </w:p>
        </w:tc>
        <w:tc>
          <w:tcPr>
            <w:tcW w:type="dxa" w:w="31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No OperationStart success; adapter must not run.</w:t>
            </w:r>
          </w:p>
        </w:tc>
        <w:tc>
          <w:tcPr>
            <w:tcW w:type="dxa" w:w="38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Rollback; sanitized append failure signal if possible.</w:t>
            </w:r>
          </w:p>
        </w:tc>
      </w:tr>
      <w:tr>
        <w:trPr>
          <w:cantSplit/>
        </w:trPr>
        <w:tc>
          <w:tcPr>
            <w:tcW w:type="dxa" w:w="24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Provider outcome unknown</w:t>
            </w:r>
          </w:p>
        </w:tc>
        <w:tc>
          <w:tcPr>
            <w:tcW w:type="dxa" w:w="31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Return/record indeterminate, never failed/success.</w:t>
            </w:r>
          </w:p>
        </w:tc>
        <w:tc>
          <w:tcPr>
            <w:tcW w:type="dxa" w:w="38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Append submission_indeterminate; enqueue M06 reconciliation.</w:t>
            </w:r>
          </w:p>
        </w:tc>
      </w:tr>
      <w:tr>
        <w:trPr>
          <w:cantSplit/>
        </w:trPr>
        <w:tc>
          <w:tcPr>
            <w:tcW w:type="dxa" w:w="24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Outcome append fails after acceptance</w:t>
            </w:r>
          </w:p>
        </w:tc>
        <w:tc>
          <w:tcPr>
            <w:tcW w:type="dxa" w:w="31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Do not claim recorded outcome.</w:t>
            </w:r>
          </w:p>
        </w:tc>
        <w:tc>
          <w:tcPr>
            <w:tcW w:type="dxa" w:w="38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Committed intent remains; stale detector/provider lookup recovers.</w:t>
            </w:r>
          </w:p>
        </w:tc>
      </w:tr>
      <w:tr>
        <w:trPr>
          <w:cantSplit/>
        </w:trPr>
        <w:tc>
          <w:tcPr>
            <w:tcW w:type="dxa" w:w="24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HMAC key unavailable or unsupported</w:t>
            </w:r>
          </w:p>
        </w:tc>
        <w:tc>
          <w:tcPr>
            <w:tcW w:type="dxa" w:w="31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beginOperation fails closed before intent/provider execution.</w:t>
            </w:r>
          </w:p>
        </w:tc>
        <w:tc>
          <w:tcPr>
            <w:tcW w:type="dxa" w:w="38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Use an unexpired tenant/version cache entry or restore approved key service; alert and never substitute a fingerprint.</w:t>
            </w:r>
          </w:p>
        </w:tc>
      </w:tr>
      <w:tr>
        <w:trPr>
          <w:cantSplit/>
        </w:trPr>
        <w:tc>
          <w:tcPr>
            <w:tcW w:type="dxa" w:w="24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DB commit uncertain</w:t>
            </w:r>
          </w:p>
        </w:tc>
        <w:tc>
          <w:tcPr>
            <w:tcW w:type="dxa" w:w="31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APPEND_COMMIT_UNKNOWN with event/dedupe lookup token.</w:t>
            </w:r>
          </w:p>
        </w:tc>
        <w:tc>
          <w:tcPr>
            <w:tcW w:type="dxa" w:w="38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Resolve prior commit before retry; never invent replacement event_id.</w:t>
            </w:r>
          </w:p>
        </w:tc>
      </w:tr>
      <w:tr>
        <w:trPr>
          <w:cantSplit/>
        </w:trPr>
        <w:tc>
          <w:tcPr>
            <w:tcW w:type="dxa" w:w="24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Equivalent duplicate</w:t>
            </w:r>
          </w:p>
        </w:tc>
        <w:tc>
          <w:tcPr>
            <w:tcW w:type="dxa" w:w="31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Return prior committed AppendResult.</w:t>
            </w:r>
          </w:p>
        </w:tc>
        <w:tc>
          <w:tcPr>
            <w:tcW w:type="dxa" w:w="38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Increment duplicate_suppressed metric; no second event/handoff.</w:t>
            </w:r>
          </w:p>
        </w:tc>
      </w:tr>
      <w:tr>
        <w:trPr>
          <w:cantSplit/>
        </w:trPr>
        <w:tc>
          <w:tcPr>
            <w:tcW w:type="dxa" w:w="24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Dedupe content mismatch</w:t>
            </w:r>
          </w:p>
        </w:tc>
        <w:tc>
          <w:tcPr>
            <w:tcW w:type="dxa" w:w="31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Generic unavailable/invalid result.</w:t>
            </w:r>
          </w:p>
        </w:tc>
        <w:tc>
          <w:tcPr>
            <w:tcW w:type="dxa" w:w="38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Reject, quarantine structural attempt evidence, security/integrity alert.</w:t>
            </w:r>
          </w:p>
        </w:tc>
      </w:tr>
      <w:tr>
        <w:trPr>
          <w:cantSplit/>
        </w:trPr>
        <w:tc>
          <w:tcPr>
            <w:tcW w:type="dxa" w:w="24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Acceptance/terminal conflict</w:t>
            </w:r>
          </w:p>
        </w:tc>
        <w:tc>
          <w:tcPr>
            <w:tcW w:type="dxa" w:w="31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Return non-terminal requires_reconciliation projection.</w:t>
            </w:r>
          </w:p>
        </w:tc>
        <w:tc>
          <w:tcPr>
            <w:tcW w:type="dxa" w:w="38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Retain facts; enqueue deterministic M05 handoff.</w:t>
            </w:r>
          </w:p>
        </w:tc>
      </w:tr>
      <w:tr>
        <w:trPr>
          <w:cantSplit/>
        </w:trPr>
        <w:tc>
          <w:tcPr>
            <w:tcW w:type="dxa" w:w="24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Unknown contract/status/provider mapping</w:t>
            </w:r>
          </w:p>
        </w:tc>
        <w:tc>
          <w:tcPr>
            <w:tcW w:type="dxa" w:w="31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Explicit unsupported; never success.</w:t>
            </w:r>
          </w:p>
        </w:tc>
        <w:tc>
          <w:tcPr>
            <w:tcW w:type="dxa" w:w="38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Quarantine/alert compatibility owner; no ordinary projection.</w:t>
            </w:r>
          </w:p>
        </w:tc>
      </w:tr>
      <w:tr>
        <w:trPr>
          <w:cantSplit/>
        </w:trPr>
        <w:tc>
          <w:tcPr>
            <w:tcW w:type="dxa" w:w="24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Projection cache unavailable/stale</w:t>
            </w:r>
          </w:p>
        </w:tc>
        <w:tc>
          <w:tcPr>
            <w:tcW w:type="dxa" w:w="31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Recompute if policy/budget allows, else explicit unavailable with freshness.</w:t>
            </w:r>
          </w:p>
        </w:tc>
        <w:tc>
          <w:tcPr>
            <w:tcW w:type="dxa" w:w="38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Alert on lag; authoritative events unchanged.</w:t>
            </w:r>
          </w:p>
        </w:tc>
      </w:tr>
      <w:tr>
        <w:trPr>
          <w:cantSplit/>
        </w:trPr>
        <w:tc>
          <w:tcPr>
            <w:tcW w:type="dxa" w:w="24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Handoff delivery fails</w:t>
            </w:r>
          </w:p>
        </w:tc>
        <w:tc>
          <w:tcPr>
            <w:tcW w:type="dxa" w:w="31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Source append remains successful.</w:t>
            </w:r>
          </w:p>
        </w:tc>
        <w:tc>
          <w:tcPr>
            <w:tcW w:type="dxa" w:w="38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Retry leased outbox; consumer dedupe; dead-letter and alert after budget.</w:t>
            </w:r>
          </w:p>
        </w:tc>
      </w:tr>
      <w:tr>
        <w:trPr>
          <w:cantSplit/>
        </w:trPr>
        <w:tc>
          <w:tcPr>
            <w:tcW w:type="dxa" w:w="24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Cloud Logging unavailable</w:t>
            </w:r>
          </w:p>
        </w:tc>
        <w:tc>
          <w:tcPr>
            <w:tcW w:type="dxa" w:w="31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No rollback or provider replay.</w:t>
            </w:r>
          </w:p>
        </w:tc>
        <w:tc>
          <w:tcPr>
            <w:tcW w:type="dxa" w:w="38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Outbox signal remains pending; M11 lag alert.</w:t>
            </w:r>
          </w:p>
        </w:tc>
      </w:tr>
      <w:tr>
        <w:trPr>
          <w:cantSplit/>
        </w:trPr>
        <w:tc>
          <w:tcPr>
            <w:tcW w:type="dxa" w:w="24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Unauthorized correction/cross-tenant link</w:t>
            </w:r>
          </w:p>
        </w:tc>
        <w:tc>
          <w:tcPr>
            <w:tcW w:type="dxa" w:w="31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Non-enumerable denial.</w:t>
            </w:r>
          </w:p>
        </w:tc>
        <w:tc>
          <w:tcPr>
            <w:tcW w:type="dxa" w:w="38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No event change; security audit/alert.</w:t>
            </w:r>
          </w:p>
        </w:tc>
      </w:tr>
    </w:tbl>
    <w:p>
      <w:pPr>
        <w:spacing w:after="40"/>
      </w:pPr>
    </w:p>
    <w:p>
      <w:pPr>
        <w:pStyle w:val="Heading1"/>
        <w:keepNext/>
      </w:pPr>
      <w:r>
        <w:t>15. Observability and service objectives</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1900"/>
        <w:gridCol w:w="4250"/>
        <w:gridCol w:w="3210"/>
      </w:tblGrid>
      <w:tr>
        <w:trPr>
          <w:tblHeader w:val="true"/>
          <w:cantSplit/>
        </w:trPr>
        <w:tc>
          <w:tcPr>
            <w:tcW w:type="dxa" w:w="190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Signal</w:t>
            </w:r>
          </w:p>
        </w:tc>
        <w:tc>
          <w:tcPr>
            <w:tcW w:type="dxa" w:w="425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Minimum dimensions</w:t>
            </w:r>
          </w:p>
        </w:tc>
        <w:tc>
          <w:tcPr>
            <w:tcW w:type="dxa" w:w="321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Alert intent</w:t>
            </w:r>
          </w:p>
        </w:tc>
      </w:tr>
      <w:tr>
        <w:trPr>
          <w:cantSplit/>
        </w:trPr>
        <w:tc>
          <w:tcPr>
            <w:tcW w:type="dxa" w:w="19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Operation acquisition</w:t>
            </w:r>
          </w:p>
        </w:tc>
        <w:tc>
          <w:tcPr>
            <w:tcW w:type="dxa" w:w="425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outcome, action_family, owner, created_or_existing, service/version</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Unexpected collision or acquisition failure.</w:t>
            </w:r>
          </w:p>
        </w:tc>
      </w:tr>
      <w:tr>
        <w:trPr>
          <w:cantSplit/>
        </w:trPr>
        <w:tc>
          <w:tcPr>
            <w:tcW w:type="dxa" w:w="19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Event append</w:t>
            </w:r>
          </w:p>
        </w:tc>
        <w:tc>
          <w:tcPr>
            <w:tcW w:type="dxa" w:w="42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event level/type/status, result, producer, contract version, latency</w:t>
            </w:r>
          </w:p>
        </w:tc>
        <w:tc>
          <w:tcPr>
            <w:tcW w:type="dxa" w:w="32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Sustained failure, invalid contract, commit ambiguity.</w:t>
            </w:r>
          </w:p>
        </w:tc>
      </w:tr>
      <w:tr>
        <w:trPr>
          <w:cantSplit/>
        </w:trPr>
        <w:tc>
          <w:tcPr>
            <w:tcW w:type="dxa" w:w="19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Duplicate/conflict</w:t>
            </w:r>
          </w:p>
        </w:tc>
        <w:tc>
          <w:tcPr>
            <w:tcW w:type="dxa" w:w="425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dedupe class, conflict kind, action family, producer</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Mismatch, acceptance conflict, terminal conflict growth.</w:t>
            </w:r>
          </w:p>
        </w:tc>
      </w:tr>
      <w:tr>
        <w:trPr>
          <w:cantSplit/>
        </w:trPr>
        <w:tc>
          <w:tcPr>
            <w:tcW w:type="dxa" w:w="19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Projection</w:t>
            </w:r>
          </w:p>
        </w:tc>
        <w:tc>
          <w:tcPr>
            <w:tcW w:type="dxa" w:w="42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engine version, explanation, freshness, source count, compute latency</w:t>
            </w:r>
          </w:p>
        </w:tc>
        <w:tc>
          <w:tcPr>
            <w:tcW w:type="dxa" w:w="32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Unsupported contract, live/rebuild mismatch, lag.</w:t>
            </w:r>
          </w:p>
        </w:tc>
      </w:tr>
      <w:tr>
        <w:trPr>
          <w:cantSplit/>
        </w:trPr>
        <w:tc>
          <w:tcPr>
            <w:tcW w:type="dxa" w:w="19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Handoff</w:t>
            </w:r>
          </w:p>
        </w:tc>
        <w:tc>
          <w:tcPr>
            <w:tcW w:type="dxa" w:w="425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kind, state, attempt, backlog age, consumer, latency, tenant sweep</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M05/M06/M11 delivery breach, sweep-bound breach, or dead letter.</w:t>
            </w:r>
          </w:p>
        </w:tc>
      </w:tr>
      <w:tr>
        <w:trPr>
          <w:cantSplit/>
        </w:trPr>
        <w:tc>
          <w:tcPr>
            <w:tcW w:type="dxa" w:w="19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Stale/indeterminate</w:t>
            </w:r>
          </w:p>
        </w:tc>
        <w:tc>
          <w:tcPr>
            <w:tcW w:type="dxa" w:w="42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age bucket, action family, owner, reconciliation state</w:t>
            </w:r>
          </w:p>
        </w:tc>
        <w:tc>
          <w:tcPr>
            <w:tcW w:type="dxa" w:w="32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Growing unknown-outcome backlog.</w:t>
            </w:r>
          </w:p>
        </w:tc>
      </w:tr>
      <w:tr>
        <w:trPr>
          <w:cantSplit/>
        </w:trPr>
        <w:tc>
          <w:tcPr>
            <w:tcW w:type="dxa" w:w="19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Key service</w:t>
            </w:r>
          </w:p>
        </w:tc>
        <w:tc>
          <w:tcPr>
            <w:tcW w:type="dxa" w:w="425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KMS result, decrypt latency, cache state, producer generation, target/active version, rotation gate result</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Cold-start acquisition failure, expiring cache headroom, unsupported producer, or KMS objective breach.</w:t>
            </w:r>
          </w:p>
        </w:tc>
      </w:tr>
      <w:tr>
        <w:trPr>
          <w:cantSplit/>
        </w:trPr>
        <w:tc>
          <w:tcPr>
            <w:tcW w:type="dxa" w:w="19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Correction/privileged</w:t>
            </w:r>
          </w:p>
        </w:tc>
        <w:tc>
          <w:tcPr>
            <w:tcW w:type="dxa" w:w="42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reason/path code, actor class, result, approval class</w:t>
            </w:r>
          </w:p>
        </w:tc>
        <w:tc>
          <w:tcPr>
            <w:tcW w:type="dxa" w:w="32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Abuse, unexpected volume, unauthorized attempt.</w:t>
            </w:r>
          </w:p>
        </w:tc>
      </w:tr>
      <w:tr>
        <w:trPr>
          <w:cantSplit/>
        </w:trPr>
        <w:tc>
          <w:tcPr>
            <w:tcW w:type="dxa" w:w="190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Fairness</w:t>
            </w:r>
          </w:p>
        </w:tc>
        <w:tc>
          <w:tcPr>
            <w:tcW w:type="dxa" w:w="425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tenant pseudonym, workload, rate, page size, replay range, throttling</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One tenant threatens peer objective or unbounded work.</w:t>
            </w:r>
          </w:p>
        </w:tc>
      </w:tr>
      <w:tr>
        <w:trPr>
          <w:cantSplit/>
        </w:trPr>
        <w:tc>
          <w:tcPr>
            <w:tcW w:type="dxa" w:w="19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Integrity</w:t>
            </w:r>
          </w:p>
        </w:tc>
        <w:tc>
          <w:tcPr>
            <w:tcW w:type="dxa" w:w="42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check kind, mismatch class, sequence anomaly class, deployment</w:t>
            </w:r>
          </w:p>
        </w:tc>
        <w:tc>
          <w:tcPr>
            <w:tcW w:type="dxa" w:w="32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Evidence/cache/outbox inconsistency; never alert on a gap alone.</w:t>
            </w:r>
          </w:p>
        </w:tc>
      </w:tr>
    </w:tbl>
    <w:p>
      <w:pPr>
        <w:spacing w:after="40"/>
      </w:pPr>
    </w:p>
    <w:p>
      <w:pPr>
        <w:spacing w:before="100" w:after="180" w:line="259" w:lineRule="auto"/>
        <w:ind w:left="173" w:right="173"/>
        <w:shd w:fill="FFF3CD"/>
        <w:pBdr>
          <w:left w:val="single" w:sz="18" w:space="8" w:color="7A5A00"/>
        </w:pBdr>
        <w:keepLines/>
      </w:pPr>
      <w:r>
        <w:rPr>
          <w:rFonts w:ascii="Calibri" w:hAnsi="Calibri" w:eastAsia="Calibri"/>
          <w:b/>
          <w:color w:val="7A5A00"/>
        </w:rPr>
        <w:t xml:space="preserve">Pending objectives. </w:t>
      </w:r>
      <w:r>
        <w:rPr>
          <w:rFonts w:ascii="Calibri" w:hAnsi="Calibri" w:eastAsia="Calibri"/>
          <w:color w:val="243746"/>
        </w:rPr>
        <w:t>Append latency, projection latency, full-range replay duration/event bound, handoff backlog age, signal publication latency, page sizes, fairness thresholds, Cloud KMS decrypt/error objectives, cold-start key availability, and bounded-cache headroom require M02-OI-009 approval. Instrumentation ships before values are enforced.</w:t>
      </w:r>
    </w:p>
    <w:p>
      <w:pPr>
        <w:pStyle w:val="Heading1"/>
        <w:keepNext/>
      </w:pPr>
      <w:r>
        <w:t>16. Reliability, performance, and capacity</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1650"/>
        <w:gridCol w:w="4780"/>
        <w:gridCol w:w="2930"/>
      </w:tblGrid>
      <w:tr>
        <w:trPr>
          <w:tblHeader w:val="true"/>
          <w:cantSplit/>
        </w:trPr>
        <w:tc>
          <w:tcPr>
            <w:tcW w:type="dxa" w:w="165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Concern</w:t>
            </w:r>
          </w:p>
        </w:tc>
        <w:tc>
          <w:tcPr>
            <w:tcW w:type="dxa" w:w="478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Design mechanism</w:t>
            </w:r>
          </w:p>
        </w:tc>
        <w:tc>
          <w:tcPr>
            <w:tcW w:type="dxa" w:w="293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Verification</w:t>
            </w:r>
          </w:p>
        </w:tc>
      </w:tr>
      <w:tr>
        <w:trPr>
          <w:cantSplit/>
        </w:trPr>
        <w:tc>
          <w:tcPr>
            <w:tcW w:type="dxa" w:w="165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Durability</w:t>
            </w:r>
          </w:p>
        </w:tc>
        <w:tc>
          <w:tcPr>
            <w:tcW w:type="dxa" w:w="478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Synchronous Cloud SQL commit defines append success; backups and point-in-time recovery protect source evidence. Cloud KMS availability is a hard dependency for uncached beginOperation and therefore every new external side effect on a cold process.</w:t>
            </w:r>
          </w:p>
        </w:tc>
        <w:tc>
          <w:tcPr>
            <w:tcW w:type="dxa" w:w="293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Fault injection at begin/append/commit, Cloud KMS outage with warm and cold processes, and database/key restore exercises.</w:t>
            </w:r>
          </w:p>
        </w:tc>
      </w:tr>
      <w:tr>
        <w:trPr>
          <w:cantSplit/>
        </w:trPr>
        <w:tc>
          <w:tcPr>
            <w:tcW w:type="dxa" w:w="16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Concurrency</w:t>
            </w:r>
          </w:p>
        </w:tc>
        <w:tc>
          <w:tcPr>
            <w:tcW w:type="dxa" w:w="478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operation_registry row lock per operation, deterministic multi-operation lock order, unique constraints, content fingerprints, canonical binding, SKIP LOCKED outbox leases.</w:t>
            </w:r>
          </w:p>
        </w:tc>
        <w:tc>
          <w:tcPr>
            <w:tcW w:type="dxa" w:w="293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Barrier-synchronized contradictory appends produce conflict evidence/projection and one effective handoff; deadlock regression.</w:t>
            </w:r>
          </w:p>
        </w:tc>
      </w:tr>
      <w:tr>
        <w:trPr>
          <w:cantSplit/>
        </w:trPr>
        <w:tc>
          <w:tcPr>
            <w:tcW w:type="dxa" w:w="165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Query cost</w:t>
            </w:r>
          </w:p>
        </w:tc>
        <w:tc>
          <w:tcPr>
            <w:tcW w:type="dxa" w:w="478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Operation/link indexes, cached projection, bounded bulk APIs, stable pagination, no routine JSON scan.</w:t>
            </w:r>
          </w:p>
        </w:tc>
        <w:tc>
          <w:tcPr>
            <w:tcW w:type="dxa" w:w="293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Representative deep timelines, batches, queues, explain plans.</w:t>
            </w:r>
          </w:p>
        </w:tc>
      </w:tr>
      <w:tr>
        <w:trPr>
          <w:cantSplit/>
        </w:trPr>
        <w:tc>
          <w:tcPr>
            <w:tcW w:type="dxa" w:w="16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Rebuild</w:t>
            </w:r>
          </w:p>
        </w:tc>
        <w:tc>
          <w:tcPr>
            <w:tcW w:type="dxa" w:w="478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Consistent snapshot, bounded full-range restart, pure engine, source fingerprints, provider-disabled runtime.</w:t>
            </w:r>
          </w:p>
        </w:tc>
        <w:tc>
          <w:tcPr>
            <w:tcW w:type="dxa" w:w="293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Live/rebuild equivalence and interruption restart.</w:t>
            </w:r>
          </w:p>
        </w:tc>
      </w:tr>
      <w:tr>
        <w:trPr>
          <w:cantSplit/>
        </w:trPr>
        <w:tc>
          <w:tcPr>
            <w:tcW w:type="dxa" w:w="165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Fairness</w:t>
            </w:r>
          </w:p>
        </w:tc>
        <w:tc>
          <w:tcPr>
            <w:tcW w:type="dxa" w:w="478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Paged round-robin tenant sweep plus per-tenant rate, concurrency, page, batch, outbox, and replay bounds with backpressure.</w:t>
            </w:r>
          </w:p>
        </w:tc>
        <w:tc>
          <w:tcPr>
            <w:tcW w:type="dxa" w:w="293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Saturate one tenant and grow tenant count while measuring peer and full-sweep objectives.</w:t>
            </w:r>
          </w:p>
        </w:tc>
      </w:tr>
      <w:tr>
        <w:trPr>
          <w:cantSplit/>
        </w:trPr>
        <w:tc>
          <w:tcPr>
            <w:tcW w:type="dxa" w:w="16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Compatibility</w:t>
            </w:r>
          </w:p>
        </w:tc>
        <w:tc>
          <w:tcPr>
            <w:tcW w:type="dxa" w:w="478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Versioned contracts/engine, database-controlled key write version, live producer capability registrations, deployment-generation attestation, expand-contract migrations, startup matrix, and old fixtures retained.</w:t>
            </w:r>
          </w:p>
        </w:tc>
        <w:tc>
          <w:tcPr>
            <w:tcW w:type="dxa" w:w="293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Rolling deployment and key-rotation race tests; refuse activation for stale, missing, or unsupported producer registrations.</w:t>
            </w:r>
          </w:p>
        </w:tc>
      </w:tr>
      <w:tr>
        <w:trPr>
          <w:cantSplit/>
        </w:trPr>
        <w:tc>
          <w:tcPr>
            <w:tcW w:type="dxa" w:w="165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Recovery</w:t>
            </w:r>
          </w:p>
        </w:tc>
        <w:tc>
          <w:tcPr>
            <w:tcW w:type="dxa" w:w="478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Stable IDs, explicit indeterminate state, recoverable outbox, recomputable cache, retained key envelopes, and exercised KMS/key restore.</w:t>
            </w:r>
          </w:p>
        </w:tc>
        <w:tc>
          <w:tcPr>
            <w:tcW w:type="dxa" w:w="293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Crash at every sequence boundary; cold-process KMS outage and key-restore drill; no false success, substitute fingerprint, or automatic resend.</w:t>
            </w:r>
          </w:p>
        </w:tc>
      </w:tr>
    </w:tbl>
    <w:p>
      <w:pPr>
        <w:spacing w:after="40"/>
      </w:pPr>
    </w:p>
    <w:p>
      <w:pPr>
        <w:pStyle w:val="Heading1"/>
        <w:keepNext/>
      </w:pPr>
      <w:r>
        <w:t>17. Verification strategy and release gates</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1550"/>
        <w:gridCol w:w="5000"/>
        <w:gridCol w:w="2810"/>
      </w:tblGrid>
      <w:tr>
        <w:trPr>
          <w:tblHeader w:val="true"/>
          <w:cantSplit/>
        </w:trPr>
        <w:tc>
          <w:tcPr>
            <w:tcW w:type="dxa" w:w="155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Test layer</w:t>
            </w:r>
          </w:p>
        </w:tc>
        <w:tc>
          <w:tcPr>
            <w:tcW w:type="dxa" w:w="500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Required coverage</w:t>
            </w:r>
          </w:p>
        </w:tc>
        <w:tc>
          <w:tcPr>
            <w:tcW w:type="dxa" w:w="281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Release evidence</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Unit / contract</w:t>
            </w:r>
          </w:p>
        </w:tc>
        <w:tc>
          <w:tcPr>
            <w:tcW w:type="dxa" w:w="50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Contract/status scope, producer authority, metadata schemas, fingerprints, correction graph, explanation codes.</w:t>
            </w:r>
          </w:p>
        </w:tc>
        <w:tc>
          <w:tcPr>
            <w:tcW w:type="dxa" w:w="28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Deterministic positive/negative fixtures for every core contract.</w:t>
            </w:r>
          </w:p>
        </w:tc>
      </w:tr>
      <w:tr>
        <w:trPr>
          <w:cantSplit/>
        </w:trPr>
        <w:tc>
          <w:tcPr>
            <w:tcW w:type="dxa" w:w="15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Database</w:t>
            </w:r>
          </w:p>
        </w:tc>
        <w:tc>
          <w:tcPr>
            <w:tcW w:type="dxa" w:w="50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Append-only grants, SECURITY DEFINER lock gateways, safe search_path/PUBLIC revocation, FK/link checks, dedupe uniqueness, canonical binding, and projection/outbox transactionality.</w:t>
            </w:r>
          </w:p>
        </w:tc>
        <w:tc>
          <w:tcPr>
            <w:tcW w:type="dxa" w:w="28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PostgreSQL 17 integration results, procedure checksums, and permissions manifest proving runtime has no raw UPDATE.</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Projection</w:t>
            </w:r>
          </w:p>
        </w:tc>
        <w:tc>
          <w:tcPr>
            <w:tcW w:type="dxa" w:w="50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Shuffled arrival, equal time/rank, untrusted time, corrections, acceptance and terminal conflicts, unknown versions.</w:t>
            </w:r>
          </w:p>
        </w:tc>
        <w:tc>
          <w:tcPr>
            <w:tcW w:type="dxa" w:w="28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Same result, controlling IDs, explanation, and version for same set.</w:t>
            </w:r>
          </w:p>
        </w:tc>
      </w:tr>
      <w:tr>
        <w:trPr>
          <w:cantSplit/>
        </w:trPr>
        <w:tc>
          <w:tcPr>
            <w:tcW w:type="dxa" w:w="15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Concurrency</w:t>
            </w:r>
          </w:p>
        </w:tc>
        <w:tc>
          <w:tcPr>
            <w:tcW w:type="dxa" w:w="50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Barrier-synchronized equivalent and contradictory appends through m02_lock_operation; key-version flip versus m02_begin_key_scope; callbacks, corrections, outbox claims, and commit ambiguity.</w:t>
            </w:r>
          </w:p>
        </w:tc>
        <w:tc>
          <w:tcPr>
            <w:tcW w:type="dxa" w:w="28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Gateway-acquired locks persist through the caller transaction; all facts retained; immediate conflict event/projection; one M05 item; no operation fork, duplicate send, or deadlock.</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Crash recovery</w:t>
            </w:r>
          </w:p>
        </w:tc>
        <w:tc>
          <w:tcPr>
            <w:tcW w:type="dxa" w:w="50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Before/after intent, provider call, outcome append, event/outbox commit, consumer ack, delivered mark.</w:t>
            </w:r>
          </w:p>
        </w:tc>
        <w:tc>
          <w:tcPr>
            <w:tcW w:type="dxa" w:w="28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No call without intent; recoverable handoff; no M02 resend.</w:t>
            </w:r>
          </w:p>
        </w:tc>
      </w:tr>
      <w:tr>
        <w:trPr>
          <w:cantSplit/>
        </w:trPr>
        <w:tc>
          <w:tcPr>
            <w:tcW w:type="dxa" w:w="15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Security/privacy</w:t>
            </w:r>
          </w:p>
        </w:tc>
        <w:tc>
          <w:tcPr>
            <w:tcW w:type="dxa" w:w="50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Forged tenant/subject/producer, metadata injection, direct locking SELECT, unsafe search_path, PUBLIC procedure access, prohibited grants, correction abuse, and telemetry inspection.</w:t>
            </w:r>
          </w:p>
        </w:tc>
        <w:tc>
          <w:tcPr>
            <w:tcW w:type="dxa" w:w="28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Security/privacy sign-off; zero open critical/high; PHI-safe outputs; definer gateways cannot be repurposed for mutation.</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Replay/integrity</w:t>
            </w:r>
          </w:p>
        </w:tc>
        <w:tc>
          <w:tcPr>
            <w:tcW w:type="dxa" w:w="50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Clean and interrupted full-range rebuild, out-of-order commits, sequence gaps, privileged mutation simulation.</w:t>
            </w:r>
          </w:p>
        </w:tc>
        <w:tc>
          <w:tcPr>
            <w:tcW w:type="dxa" w:w="28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Live/rebuild equality; gap false positives absent; attributable alerts.</w:t>
            </w:r>
          </w:p>
        </w:tc>
      </w:tr>
      <w:tr>
        <w:trPr>
          <w:cantSplit/>
        </w:trPr>
        <w:tc>
          <w:tcPr>
            <w:tcW w:type="dxa" w:w="15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Performance/fairness</w:t>
            </w:r>
          </w:p>
        </w:tc>
        <w:tc>
          <w:tcPr>
            <w:tcW w:type="dxa" w:w="50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Append under per-operation lock, projection, stale-intent anti-join using idx_patient_events_stale_intent_scan, patient/link explain plans, bulk pages, tenant sweep, outbox backlog, rebuild, and KMS dependency behavior.</w:t>
            </w:r>
          </w:p>
        </w:tc>
        <w:tc>
          <w:tcPr>
            <w:tcW w:type="dxa" w:w="28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Approved OI-009 objectives, index plan, KMS cold/warm objectives, review triggers, and peer-tenant protection.</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Module contract</w:t>
            </w:r>
          </w:p>
        </w:tc>
        <w:tc>
          <w:tcPr>
            <w:tcW w:type="dxa" w:w="50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M03 observation/callback, M05 work handoff, M06 reconcile/bulk, M10 timeline, M11 signals.</w:t>
            </w:r>
          </w:p>
        </w:tc>
        <w:tc>
          <w:tcPr>
            <w:tcW w:type="dxa" w:w="28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Versioned consumer/provider contract tests.</w:t>
            </w:r>
          </w:p>
        </w:tc>
      </w:tr>
      <w:tr>
        <w:trPr>
          <w:cantSplit/>
        </w:trPr>
        <w:tc>
          <w:tcPr>
            <w:tcW w:type="dxa" w:w="15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E2E</w:t>
            </w:r>
          </w:p>
        </w:tc>
        <w:tc>
          <w:tcPr>
            <w:tcW w:type="dxa" w:w="50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Two tenants: accepted, competing acceptance, rejected, indeterminate, delivered, terminal conflict, observation, correction, resend.</w:t>
            </w:r>
          </w:p>
        </w:tc>
        <w:tc>
          <w:tcPr>
            <w:tcW w:type="dxa" w:w="28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Isolation assertions and clinical/operational owner acceptance.</w:t>
            </w:r>
          </w:p>
        </w:tc>
      </w:tr>
    </w:tbl>
    <w:p>
      <w:pPr>
        <w:spacing w:after="40"/>
      </w:pPr>
    </w:p>
    <w:p>
      <w:pPr>
        <w:pStyle w:val="Heading2"/>
        <w:keepNext/>
      </w:pPr>
      <w:r>
        <w:t>17.1 Mandatory negative scenarios</w:t>
      </w:r>
    </w:p>
    <w:p>
      <w:pPr>
        <w:pStyle w:val="ListBullet"/>
        <w:keepLines/>
      </w:pPr>
      <w:r>
        <w:t>Attempt adapter execution after failed/uncommitted beginOperation; prove the provider stub receives no call.</w:t>
      </w:r>
    </w:p>
    <w:p>
      <w:pPr>
        <w:pStyle w:val="ListBullet"/>
        <w:keepLines/>
      </w:pPr>
      <w:r>
        <w:t>Reuse one business key with different action, subject, or owner; reject instead of returning an unrelated operation.</w:t>
      </w:r>
    </w:p>
    <w:p>
      <w:pPr>
        <w:pStyle w:val="ListBullet"/>
        <w:keepLines/>
      </w:pPr>
      <w:r>
        <w:t>Submit same source event concurrently with equivalent and non-equivalent bodies; collapse only equivalent attempts.</w:t>
      </w:r>
    </w:p>
    <w:p>
      <w:pPr>
        <w:pStyle w:val="ListBullet"/>
        <w:keepLines/>
      </w:pPr>
      <w:r>
        <w:t>Start two real concurrent transactions behind a barrier, append contradictory terminal outcomes to one operation, and prove the second lock holder sees both facts, appends one conflict event/outbox row, and commits the non-terminal conflict projection.</w:t>
      </w:r>
    </w:p>
    <w:p>
      <w:pPr>
        <w:pStyle w:val="ListBullet"/>
        <w:keepLines/>
      </w:pPr>
      <w:r>
        <w:t>As haloflow_runtime, prove direct SELECT FOR UPDATE/KEY SHARE and every raw UPDATE are denied; call each SECURITY DEFINER lock gateway and prove the exact row remains locked after gateway return until the surrounding transaction ends. Reject unsafe search_path, PUBLIC EXECUTE, dynamic SQL, wrong-tenant rows, and missing rows.</w:t>
      </w:r>
    </w:p>
    <w:p>
      <w:pPr>
        <w:pStyle w:val="ListBullet"/>
        <w:keepLines/>
      </w:pPr>
      <w:r>
        <w:t>Race a business-key active-version flip against old/new producer acquisitions; prove the control-row lock permits one write version, retained lookup returns one operation_id, and an unsupported producer fails closed.</w:t>
      </w:r>
    </w:p>
    <w:p>
      <w:pPr>
        <w:pStyle w:val="ListBullet"/>
        <w:keepLines/>
      </w:pPr>
      <w:r>
        <w:t>Attempt key activation with a stale heartbeat, missing required producer, unsupported target version, or incomplete deployment-generation attestation; m02_rotate_key_version refuses the flip and emits a structural alert.</w:t>
      </w:r>
    </w:p>
    <w:p>
      <w:pPr>
        <w:pStyle w:val="ListBullet"/>
        <w:keepLines/>
      </w:pPr>
      <w:r>
        <w:t>Create competing provider acceptance identities under both unique and non-unique capability scopes; retain all facts, enforce only the declared namespace scope, and project non-terminal conflict where required.</w:t>
      </w:r>
    </w:p>
    <w:p>
      <w:pPr>
        <w:pStyle w:val="ListBullet"/>
        <w:keepLines/>
      </w:pPr>
      <w:r>
        <w:t>Attempt to COMMIT patient_events with null patient_id and no approved link, including direct privileged test inserts; prove trg_patient_event_subject_required rejects the transaction.</w:t>
      </w:r>
    </w:p>
    <w:p>
      <w:pPr>
        <w:pStyle w:val="ListBullet"/>
        <w:keepLines/>
      </w:pPr>
      <w:r>
        <w:t>Append a valid observation with null operation_id; prove no registry lock is sought, source dedupe remains effective, no operation_projections row is created, the subject timeline contains the fact, and the owning domain state commits atomically.</w:t>
      </w:r>
    </w:p>
    <w:p>
      <w:pPr>
        <w:pStyle w:val="ListBullet"/>
        <w:keepLines/>
      </w:pPr>
      <w:r>
        <w:t>Run listStaleIntents at representative depth and cutoff selectivity; require an explain plan using idx_patient_events_stale_intent_scan and the operation submission index without an unbounded tenant scan.</w:t>
      </w:r>
    </w:p>
    <w:p>
      <w:pPr>
        <w:pStyle w:val="ListBullet"/>
        <w:keepLines/>
      </w:pPr>
      <w:r>
        <w:t>Start cold and warm processes during Cloud KMS latency, denial, and outage faults; verify bounded cache behavior, fail-closed acquisition, objective signals, and no substitute key or provider call.</w:t>
      </w:r>
    </w:p>
    <w:p>
      <w:pPr>
        <w:pStyle w:val="ListBullet"/>
        <w:keepLines/>
      </w:pPr>
      <w:r>
        <w:t>Shuffle received_at, occurred_at, append_sequence allocation, and commit order; projection remains set-deterministic and never uses sequence as a resume cursor.</w:t>
      </w:r>
    </w:p>
    <w:p>
      <w:pPr>
        <w:pStyle w:val="ListBullet"/>
        <w:keepLines/>
      </w:pPr>
      <w:r>
        <w:t>Forge tenant, subject/source link, causation, correction target, operation, provider namespace, actor, producer, or public correlation ID.</w:t>
      </w:r>
    </w:p>
    <w:p>
      <w:pPr>
        <w:pStyle w:val="ListBullet"/>
        <w:keepLines/>
      </w:pPr>
      <w:r>
        <w:t>Insert projection_only status into patient_events, unknown contract version, oversized/prohibited metadata, or unrestricted failure text.</w:t>
      </w:r>
    </w:p>
    <w:p>
      <w:pPr>
        <w:pStyle w:val="ListBullet"/>
        <w:keepLines/>
      </w:pPr>
      <w:r>
        <w:t>Crash between source event and handoff dispatch, consumer persistence and acknowledgement, and acknowledgement and delivered mark; converge to one effective record.</w:t>
      </w:r>
    </w:p>
    <w:p>
      <w:pPr>
        <w:pStyle w:val="ListBullet"/>
        <w:keepLines/>
      </w:pPr>
      <w:r>
        <w:t>Run replay with adapter canaries; prove no provider call and no duplicate effective M05/M06 work.</w:t>
      </w:r>
    </w:p>
    <w:p>
      <w:pPr>
        <w:pStyle w:val="ListBullet"/>
        <w:keepLines/>
      </w:pPr>
      <w:r>
        <w:t>Simulate legitimate rolled-back sequence gaps and privileged mutation; alert only on attributable integrity violations, not the gap alone.</w:t>
      </w:r>
    </w:p>
    <w:p>
      <w:pPr>
        <w:pStyle w:val="Heading1"/>
        <w:keepNext/>
      </w:pPr>
      <w:r>
        <w:t>18. Migration, rollout, and rollback</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1850"/>
        <w:gridCol w:w="7510"/>
      </w:tblGrid>
      <w:tr>
        <w:trPr>
          <w:tblHeader w:val="true"/>
          <w:cantSplit/>
        </w:trPr>
        <w:tc>
          <w:tcPr>
            <w:tcW w:type="dxa" w:w="185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Phase</w:t>
            </w:r>
          </w:p>
        </w:tc>
        <w:tc>
          <w:tcPr>
            <w:tcW w:type="dxa" w:w="751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6"/>
              </w:rPr>
              <w:t>Entry / exit intent</w:t>
            </w:r>
          </w:p>
        </w:tc>
      </w:tr>
      <w:tr>
        <w:trPr>
          <w:cantSplit/>
        </w:trPr>
        <w:tc>
          <w:tcPr>
            <w:tcW w:type="dxa" w:w="1850"/>
            <w:tcMar>
              <w:top w:w="100" w:type="dxa"/>
              <w:start w:w="120" w:type="dxa"/>
              <w:bottom w:w="100" w:type="dxa"/>
              <w:end w:w="120" w:type="dxa"/>
            </w:tcMar>
            <w:vAlign w:val="center"/>
          </w:tcPr>
          <w:p>
            <w:pPr>
              <w:spacing w:after="0" w:line="259" w:lineRule="auto"/>
            </w:pPr>
            <w:r>
              <w:rPr>
                <w:rFonts w:ascii="Calibri" w:hAnsi="Calibri" w:eastAsia="Calibri"/>
                <w:b/>
                <w:color w:val="243746"/>
                <w:sz w:val="16"/>
              </w:rPr>
              <w:t>1. Architecture</w:t>
            </w:r>
          </w:p>
        </w:tc>
        <w:tc>
          <w:tcPr>
            <w:tcW w:type="dxa" w:w="751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Approve ADR-011 scope and design decisions D-02–D-09; assign owners and provider/privacy/SRE gates.</w:t>
            </w:r>
          </w:p>
        </w:tc>
      </w:tr>
      <w:tr>
        <w:trPr>
          <w:cantSplit/>
        </w:trPr>
        <w:tc>
          <w:tcPr>
            <w:tcW w:type="dxa" w:w="18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6"/>
              </w:rPr>
              <w:t>2. Shared references</w:t>
            </w:r>
          </w:p>
        </w:tc>
        <w:tc>
          <w:tcPr>
            <w:tcW w:type="dxa" w:w="75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Add inactive type/status/contract/provider-capability versions, producer-key capability registration, and classification inventory; create the next HMAC version as lookup-only; deploy readers that tolerate inactive additions.</w:t>
            </w:r>
          </w:p>
        </w:tc>
      </w:tr>
      <w:tr>
        <w:trPr>
          <w:cantSplit/>
        </w:trPr>
        <w:tc>
          <w:tcPr>
            <w:tcW w:type="dxa" w:w="1850"/>
            <w:tcMar>
              <w:top w:w="100" w:type="dxa"/>
              <w:start w:w="120" w:type="dxa"/>
              <w:bottom w:w="100" w:type="dxa"/>
              <w:end w:w="120" w:type="dxa"/>
            </w:tcMar>
            <w:vAlign w:val="center"/>
          </w:tcPr>
          <w:p>
            <w:pPr>
              <w:spacing w:after="0" w:line="259" w:lineRule="auto"/>
            </w:pPr>
            <w:r>
              <w:rPr>
                <w:rFonts w:ascii="Calibri" w:hAnsi="Calibri" w:eastAsia="Calibri"/>
                <w:b/>
                <w:color w:val="243746"/>
                <w:sz w:val="16"/>
              </w:rPr>
              <w:t>3. Tenant expand</w:t>
            </w:r>
          </w:p>
        </w:tc>
        <w:tc>
          <w:tcPr>
            <w:tcW w:type="dxa" w:w="751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Create operation/key-control, event/link, binding, projection, and outbox tables; add idx_patient_events_stale_intent_scan, triggers, dedicated definer owner, lock/rotation gateways, safe search_path, PUBLIC revocation, and runtime EXECUTE-only grants in synthetic tenants.</w:t>
            </w:r>
          </w:p>
        </w:tc>
      </w:tr>
      <w:tr>
        <w:trPr>
          <w:cantSplit/>
        </w:trPr>
        <w:tc>
          <w:tcPr>
            <w:tcW w:type="dxa" w:w="18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6"/>
              </w:rPr>
              <w:t>4. Library</w:t>
            </w:r>
          </w:p>
        </w:tc>
        <w:tc>
          <w:tcPr>
            <w:tcW w:type="dxa" w:w="75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Ship versioned services/engine, producer startup/heartbeat registration, static ownership and direct-lock checks, adapter-disabled replay tool, and compatibility validation.</w:t>
            </w:r>
          </w:p>
        </w:tc>
      </w:tr>
      <w:tr>
        <w:trPr>
          <w:cantSplit/>
        </w:trPr>
        <w:tc>
          <w:tcPr>
            <w:tcW w:type="dxa" w:w="1850"/>
            <w:tcMar>
              <w:top w:w="100" w:type="dxa"/>
              <w:start w:w="120" w:type="dxa"/>
              <w:bottom w:w="100" w:type="dxa"/>
              <w:end w:w="120" w:type="dxa"/>
            </w:tcMar>
            <w:vAlign w:val="center"/>
          </w:tcPr>
          <w:p>
            <w:pPr>
              <w:spacing w:after="0" w:line="259" w:lineRule="auto"/>
            </w:pPr>
            <w:r>
              <w:rPr>
                <w:rFonts w:ascii="Calibri" w:hAnsi="Calibri" w:eastAsia="Calibri"/>
                <w:b/>
                <w:color w:val="243746"/>
                <w:sz w:val="16"/>
              </w:rPr>
              <w:t>5. Synthetic validation</w:t>
            </w:r>
          </w:p>
        </w:tc>
        <w:tc>
          <w:tcPr>
            <w:tcW w:type="dxa" w:w="751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Pass two-tenant isolation, definer-grant/search-path, lock-persistence, subject-trigger, producer-gated key rotation, concurrent-conflict, null-operation observation, KMS outage, crash, correction, replay, indexed stale-query, tenant-sweep, and PHI-safe telemetry suites.</w:t>
            </w:r>
          </w:p>
        </w:tc>
      </w:tr>
      <w:tr>
        <w:trPr>
          <w:cantSplit/>
        </w:trPr>
        <w:tc>
          <w:tcPr>
            <w:tcW w:type="dxa" w:w="18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6"/>
              </w:rPr>
              <w:t>6. Canary producer</w:t>
            </w:r>
          </w:p>
        </w:tc>
        <w:tc>
          <w:tcPr>
            <w:tcW w:type="dxa" w:w="75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Enable one external side-effect and one observation path; shadow projection and compare every explanation.</w:t>
            </w:r>
          </w:p>
        </w:tc>
      </w:tr>
      <w:tr>
        <w:trPr>
          <w:cantSplit/>
        </w:trPr>
        <w:tc>
          <w:tcPr>
            <w:tcW w:type="dxa" w:w="1850"/>
            <w:tcMar>
              <w:top w:w="100" w:type="dxa"/>
              <w:start w:w="120" w:type="dxa"/>
              <w:bottom w:w="100" w:type="dxa"/>
              <w:end w:w="120" w:type="dxa"/>
            </w:tcMar>
            <w:vAlign w:val="center"/>
          </w:tcPr>
          <w:p>
            <w:pPr>
              <w:spacing w:after="0" w:line="259" w:lineRule="auto"/>
            </w:pPr>
            <w:r>
              <w:rPr>
                <w:rFonts w:ascii="Calibri" w:hAnsi="Calibri" w:eastAsia="Calibri"/>
                <w:b/>
                <w:color w:val="243746"/>
                <w:sz w:val="16"/>
              </w:rPr>
              <w:t>7. Consumer canary</w:t>
            </w:r>
          </w:p>
        </w:tc>
        <w:tc>
          <w:tcPr>
            <w:tcW w:type="dxa" w:w="7510"/>
            <w:tcMar>
              <w:top w:w="100" w:type="dxa"/>
              <w:start w:w="120" w:type="dxa"/>
              <w:bottom w:w="100" w:type="dxa"/>
              <w:end w:w="120" w:type="dxa"/>
            </w:tcMar>
            <w:vAlign w:val="center"/>
          </w:tcPr>
          <w:p>
            <w:pPr>
              <w:spacing w:after="0" w:line="259" w:lineRule="auto"/>
            </w:pPr>
            <w:r>
              <w:rPr>
                <w:rFonts w:ascii="Calibri" w:hAnsi="Calibri" w:eastAsia="Calibri"/>
                <w:b w:val="0"/>
                <w:color w:val="243746"/>
                <w:sz w:val="16"/>
              </w:rPr>
              <w:t>Enable M05/M06 handoffs and M10/M11 reads/signals behind version gates; monitor backlog, duplicate suppression, and lag.</w:t>
            </w:r>
          </w:p>
        </w:tc>
      </w:tr>
      <w:tr>
        <w:trPr>
          <w:cantSplit/>
        </w:trPr>
        <w:tc>
          <w:tcPr>
            <w:tcW w:type="dxa" w:w="18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6"/>
              </w:rPr>
              <w:t>8. Limited pilot / GA</w:t>
            </w:r>
          </w:p>
        </w:tc>
        <w:tc>
          <w:tcPr>
            <w:tcW w:type="dxa" w:w="75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6"/>
              </w:rPr>
              <w:t>Pilot only after provider, key restore, retention/export, privileged-integrity, runbook, and SLO gates; broaden after exercised recovery and tenant-sweep review.</w:t>
            </w:r>
          </w:p>
        </w:tc>
      </w:tr>
    </w:tbl>
    <w:p>
      <w:pPr>
        <w:spacing w:after="40"/>
      </w:pPr>
    </w:p>
    <w:p>
      <w:pPr>
        <w:pStyle w:val="Heading2"/>
        <w:keepNext/>
      </w:pPr>
      <w:r>
        <w:t>18.1 Rollback</w:t>
      </w:r>
    </w:p>
    <w:p>
      <w:r>
        <w:rPr>
          <w:rFonts w:ascii="Calibri" w:hAnsi="Calibri" w:eastAsia="Calibri"/>
          <w:i w:val="0"/>
          <w:color w:val="243746"/>
        </w:rPr>
        <w:t>Rollback disables incompatible producers/consumers, preserves every appended event, restores the last compatible contract and ProjectionEngine version, quarantines unknown types, drains or pauses dispatch, and rebuilds derived state when required. New append-only columns/tables remain under expand-contract until every deployed reader is compatible. A migration that cannot reverse safely uses a forward fix and dual-read window; rollback never deletes newer events or resends providers.</w:t>
      </w:r>
    </w:p>
    <w:p>
      <w:pPr>
        <w:pStyle w:val="Heading1"/>
        <w:keepNext/>
      </w:pPr>
      <w:r>
        <w:t>19. Open decisions and prerequisites</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1100"/>
        <w:gridCol w:w="2750"/>
        <w:gridCol w:w="1900"/>
        <w:gridCol w:w="1950"/>
        <w:gridCol w:w="1660"/>
      </w:tblGrid>
      <w:tr>
        <w:trPr>
          <w:tblHeader w:val="true"/>
          <w:cantSplit/>
        </w:trPr>
        <w:tc>
          <w:tcPr>
            <w:tcW w:type="dxa" w:w="110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ID</w:t>
            </w:r>
          </w:p>
        </w:tc>
        <w:tc>
          <w:tcPr>
            <w:tcW w:type="dxa" w:w="275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Decision</w:t>
            </w:r>
          </w:p>
        </w:tc>
        <w:tc>
          <w:tcPr>
            <w:tcW w:type="dxa" w:w="190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Design status</w:t>
            </w:r>
          </w:p>
        </w:tc>
        <w:tc>
          <w:tcPr>
            <w:tcW w:type="dxa" w:w="195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Owner</w:t>
            </w:r>
          </w:p>
        </w:tc>
        <w:tc>
          <w:tcPr>
            <w:tcW w:type="dxa" w:w="166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Required by</w:t>
            </w:r>
          </w:p>
        </w:tc>
      </w:tr>
      <w:tr>
        <w:trPr>
          <w:cantSplit/>
        </w:trPr>
        <w:tc>
          <w:tcPr>
            <w:tcW w:type="dxa" w:w="11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M02-OI-001</w:t>
            </w:r>
          </w:p>
        </w:tc>
        <w:tc>
          <w:tcPr>
            <w:tcW w:type="dxa" w:w="27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ADR-011 and D4 mechanical status stamps</w:t>
            </w:r>
          </w:p>
        </w:tc>
        <w:tc>
          <w:tcPr>
            <w:tcW w:type="dxa" w:w="19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Open external gate</w:t>
            </w:r>
          </w:p>
        </w:tc>
        <w:tc>
          <w:tcPr>
            <w:tcW w:type="dxa" w:w="19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Architecture + Engineering</w:t>
            </w:r>
          </w:p>
        </w:tc>
        <w:tc>
          <w:tcPr>
            <w:tcW w:type="dxa" w:w="166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Before schema freeze</w:t>
            </w:r>
          </w:p>
        </w:tc>
      </w:tr>
      <w:tr>
        <w:trPr>
          <w:cantSplit/>
        </w:trPr>
        <w:tc>
          <w:tcPr>
            <w:tcW w:type="dxa" w:w="11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M02-OI-002</w:t>
            </w:r>
          </w:p>
        </w:tc>
        <w:tc>
          <w:tcPr>
            <w:tcW w:type="dxa" w:w="27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Physical level model and tables</w:t>
            </w:r>
          </w:p>
        </w:tc>
        <w:tc>
          <w:tcPr>
            <w:tcW w:type="dxa" w:w="19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Resolved in draft D-02/D-03</w:t>
            </w:r>
          </w:p>
        </w:tc>
        <w:tc>
          <w:tcPr>
            <w:tcW w:type="dxa" w:w="19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Data Architecture</w:t>
            </w:r>
          </w:p>
        </w:tc>
        <w:tc>
          <w:tcPr>
            <w:tcW w:type="dxa" w:w="16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Approve with design</w:t>
            </w:r>
          </w:p>
        </w:tc>
      </w:tr>
      <w:tr>
        <w:trPr>
          <w:cantSplit/>
        </w:trPr>
        <w:tc>
          <w:tcPr>
            <w:tcW w:type="dxa" w:w="11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M02-OI-003</w:t>
            </w:r>
          </w:p>
        </w:tc>
        <w:tc>
          <w:tcPr>
            <w:tcW w:type="dxa" w:w="27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Producer dedupe constraints</w:t>
            </w:r>
          </w:p>
        </w:tc>
        <w:tc>
          <w:tcPr>
            <w:tcW w:type="dxa" w:w="19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Resolved in draft D-06</w:t>
            </w:r>
          </w:p>
        </w:tc>
        <w:tc>
          <w:tcPr>
            <w:tcW w:type="dxa" w:w="19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Platform + Data</w:t>
            </w:r>
          </w:p>
        </w:tc>
        <w:tc>
          <w:tcPr>
            <w:tcW w:type="dxa" w:w="166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Validate in DB tests</w:t>
            </w:r>
          </w:p>
        </w:tc>
      </w:tr>
      <w:tr>
        <w:trPr>
          <w:cantSplit/>
        </w:trPr>
        <w:tc>
          <w:tcPr>
            <w:tcW w:type="dxa" w:w="11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M02-OI-004</w:t>
            </w:r>
          </w:p>
        </w:tc>
        <w:tc>
          <w:tcPr>
            <w:tcW w:type="dxa" w:w="27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Projection storage</w:t>
            </w:r>
          </w:p>
        </w:tc>
        <w:tc>
          <w:tcPr>
            <w:tcW w:type="dxa" w:w="19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Resolved in draft D-04</w:t>
            </w:r>
          </w:p>
        </w:tc>
        <w:tc>
          <w:tcPr>
            <w:tcW w:type="dxa" w:w="19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Architecture + Platform</w:t>
            </w:r>
          </w:p>
        </w:tc>
        <w:tc>
          <w:tcPr>
            <w:tcW w:type="dxa" w:w="16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Approve with design</w:t>
            </w:r>
          </w:p>
        </w:tc>
      </w:tr>
      <w:tr>
        <w:trPr>
          <w:cantSplit/>
        </w:trPr>
        <w:tc>
          <w:tcPr>
            <w:tcW w:type="dxa" w:w="11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M02-OI-005</w:t>
            </w:r>
          </w:p>
        </w:tc>
        <w:tc>
          <w:tcPr>
            <w:tcW w:type="dxa" w:w="27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Notifyre/provider capabilities</w:t>
            </w:r>
          </w:p>
        </w:tc>
        <w:tc>
          <w:tcPr>
            <w:tcW w:type="dxa" w:w="19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Open production blocker</w:t>
            </w:r>
          </w:p>
        </w:tc>
        <w:tc>
          <w:tcPr>
            <w:tcW w:type="dxa" w:w="19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Integration + Product</w:t>
            </w:r>
          </w:p>
        </w:tc>
        <w:tc>
          <w:tcPr>
            <w:tcW w:type="dxa" w:w="166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Before automated takeover</w:t>
            </w:r>
          </w:p>
        </w:tc>
      </w:tr>
      <w:tr>
        <w:trPr>
          <w:cantSplit/>
        </w:trPr>
        <w:tc>
          <w:tcPr>
            <w:tcW w:type="dxa" w:w="11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M02-OI-006</w:t>
            </w:r>
          </w:p>
        </w:tc>
        <w:tc>
          <w:tcPr>
            <w:tcW w:type="dxa" w:w="27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Retention/legal hold/disposition/correction policy</w:t>
            </w:r>
          </w:p>
        </w:tc>
        <w:tc>
          <w:tcPr>
            <w:tcW w:type="dxa" w:w="19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Open production blocker</w:t>
            </w:r>
          </w:p>
        </w:tc>
        <w:tc>
          <w:tcPr>
            <w:tcW w:type="dxa" w:w="19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Privacy + Compliance + Security</w:t>
            </w:r>
          </w:p>
        </w:tc>
        <w:tc>
          <w:tcPr>
            <w:tcW w:type="dxa" w:w="16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Before pilot</w:t>
            </w:r>
          </w:p>
        </w:tc>
      </w:tr>
      <w:tr>
        <w:trPr>
          <w:cantSplit/>
        </w:trPr>
        <w:tc>
          <w:tcPr>
            <w:tcW w:type="dxa" w:w="11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M02-OI-007</w:t>
            </w:r>
          </w:p>
        </w:tc>
        <w:tc>
          <w:tcPr>
            <w:tcW w:type="dxa" w:w="27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Core seed/extension catalog and compatibility process</w:t>
            </w:r>
          </w:p>
        </w:tc>
        <w:tc>
          <w:tcPr>
            <w:tcW w:type="dxa" w:w="19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Open content freeze</w:t>
            </w:r>
          </w:p>
        </w:tc>
        <w:tc>
          <w:tcPr>
            <w:tcW w:type="dxa" w:w="19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Product + Engineering</w:t>
            </w:r>
          </w:p>
        </w:tc>
        <w:tc>
          <w:tcPr>
            <w:tcW w:type="dxa" w:w="166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Before seed migration</w:t>
            </w:r>
          </w:p>
        </w:tc>
      </w:tr>
      <w:tr>
        <w:trPr>
          <w:cantSplit/>
        </w:trPr>
        <w:tc>
          <w:tcPr>
            <w:tcW w:type="dxa" w:w="11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M02-OI-008</w:t>
            </w:r>
          </w:p>
        </w:tc>
        <w:tc>
          <w:tcPr>
            <w:tcW w:type="dxa" w:w="27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Crash-durable handoff mechanism</w:t>
            </w:r>
          </w:p>
        </w:tc>
        <w:tc>
          <w:tcPr>
            <w:tcW w:type="dxa" w:w="19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Resolved in draft D-05</w:t>
            </w:r>
          </w:p>
        </w:tc>
        <w:tc>
          <w:tcPr>
            <w:tcW w:type="dxa" w:w="19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Architecture + M05 + M06</w:t>
            </w:r>
          </w:p>
        </w:tc>
        <w:tc>
          <w:tcPr>
            <w:tcW w:type="dxa" w:w="16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Approve before M06 freeze</w:t>
            </w:r>
          </w:p>
        </w:tc>
      </w:tr>
      <w:tr>
        <w:trPr>
          <w:cantSplit/>
        </w:trPr>
        <w:tc>
          <w:tcPr>
            <w:tcW w:type="dxa" w:w="11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M02-OI-009</w:t>
            </w:r>
          </w:p>
        </w:tc>
        <w:tc>
          <w:tcPr>
            <w:tcW w:type="dxa" w:w="27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Measured objectives, bounds, and critical dependency budgets</w:t>
            </w:r>
          </w:p>
        </w:tc>
        <w:tc>
          <w:tcPr>
            <w:tcW w:type="dxa" w:w="19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Open readiness gate; includes Cloud KMS</w:t>
            </w:r>
          </w:p>
        </w:tc>
        <w:tc>
          <w:tcPr>
            <w:tcW w:type="dxa" w:w="19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Product + SRE</w:t>
            </w:r>
          </w:p>
        </w:tc>
        <w:tc>
          <w:tcPr>
            <w:tcW w:type="dxa" w:w="166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Before production readiness</w:t>
            </w:r>
          </w:p>
        </w:tc>
      </w:tr>
      <w:tr>
        <w:trPr>
          <w:cantSplit/>
        </w:trPr>
        <w:tc>
          <w:tcPr>
            <w:tcW w:type="dxa" w:w="11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M02-OI-010</w:t>
            </w:r>
          </w:p>
        </w:tc>
        <w:tc>
          <w:tcPr>
            <w:tcW w:type="dxa" w:w="27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Cryptographic tamper evidence</w:t>
            </w:r>
          </w:p>
        </w:tc>
        <w:tc>
          <w:tcPr>
            <w:tcW w:type="dxa" w:w="19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Resolved for v1 by D-09: no hash chain; signed retention-locked exports</w:t>
            </w:r>
          </w:p>
        </w:tc>
        <w:tc>
          <w:tcPr>
            <w:tcW w:type="dxa" w:w="19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Security + Privacy + Compliance</w:t>
            </w:r>
          </w:p>
        </w:tc>
        <w:tc>
          <w:tcPr>
            <w:tcW w:type="dxa" w:w="166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Approved with design; revalidate before pilot</w:t>
            </w:r>
          </w:p>
        </w:tc>
      </w:tr>
    </w:tbl>
    <w:p>
      <w:pPr>
        <w:spacing w:after="40"/>
      </w:pPr>
    </w:p>
    <w:p>
      <w:pPr>
        <w:pStyle w:val="Heading1"/>
        <w:keepNext/>
      </w:pPr>
      <w:r>
        <w:t>20. Requirement traceability</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1550"/>
        <w:gridCol w:w="4600"/>
        <w:gridCol w:w="3210"/>
      </w:tblGrid>
      <w:tr>
        <w:trPr>
          <w:tblHeader w:val="true"/>
          <w:cantSplit/>
        </w:trPr>
        <w:tc>
          <w:tcPr>
            <w:tcW w:type="dxa" w:w="155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Requirement</w:t>
            </w:r>
          </w:p>
        </w:tc>
        <w:tc>
          <w:tcPr>
            <w:tcW w:type="dxa" w:w="460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Design coverage</w:t>
            </w:r>
          </w:p>
        </w:tc>
        <w:tc>
          <w:tcPr>
            <w:tcW w:type="dxa" w:w="321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Primary evidence</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M02-FR-001</w:t>
            </w:r>
          </w:p>
        </w:tc>
        <w:tc>
          <w:tcPr>
            <w:tcW w:type="dxa" w:w="46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operation_registry UUID identity</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Acquire/reuse uniqueness tests</w:t>
            </w:r>
          </w:p>
        </w:tc>
      </w:tr>
      <w:tr>
        <w:trPr>
          <w:cantSplit/>
        </w:trPr>
        <w:tc>
          <w:tcPr>
            <w:tcW w:type="dxa" w:w="15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M02-FR-002</w:t>
            </w:r>
          </w:p>
        </w:tc>
        <w:tc>
          <w:tcPr>
            <w:tcW w:type="dxa" w:w="46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beginOperation atomic registry + requested append</w:t>
            </w:r>
          </w:p>
        </w:tc>
        <w:tc>
          <w:tcPr>
            <w:tcW w:type="dxa" w:w="32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Pre-commit fault injection; provider call spy</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M02-FR-003</w:t>
            </w:r>
          </w:p>
        </w:tc>
        <w:tc>
          <w:tcPr>
            <w:tcW w:type="dxa" w:w="46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Business fingerprint, definer-controlled active-version gate, live producer compatibility, and stable registry row</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Restart/takeover, producer-registration denial, and key-rotation race</w:t>
            </w:r>
          </w:p>
        </w:tc>
      </w:tr>
      <w:tr>
        <w:trPr>
          <w:cantSplit/>
        </w:trPr>
        <w:tc>
          <w:tcPr>
            <w:tcW w:type="dxa" w:w="15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M02-FR-004</w:t>
            </w:r>
          </w:p>
        </w:tc>
        <w:tc>
          <w:tcPr>
            <w:tcW w:type="dxa" w:w="46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Adapter idempotency contract; Notifyre direct UUID</w:t>
            </w:r>
          </w:p>
        </w:tc>
        <w:tc>
          <w:tcPr>
            <w:tcW w:type="dxa" w:w="32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Byte-for-byte adapter tests</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M02-FR-005</w:t>
            </w:r>
          </w:p>
        </w:tc>
        <w:tc>
          <w:tcPr>
            <w:tcW w:type="dxa" w:w="46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event_id and source/producer dedupe</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Concurrent equivalent/distinct appends</w:t>
            </w:r>
          </w:p>
        </w:tc>
      </w:tr>
      <w:tr>
        <w:trPr>
          <w:cantSplit/>
        </w:trPr>
        <w:tc>
          <w:tcPr>
            <w:tcW w:type="dxa" w:w="15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M02-FR-006</w:t>
            </w:r>
          </w:p>
        </w:tc>
        <w:tc>
          <w:tcPr>
            <w:tcW w:type="dxa" w:w="46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Intent contract validation</w:t>
            </w:r>
          </w:p>
        </w:tc>
        <w:tc>
          <w:tcPr>
            <w:tcW w:type="dxa" w:w="32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External ID/status negative schema tests</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M02-FR-007</w:t>
            </w:r>
          </w:p>
        </w:tc>
        <w:tc>
          <w:tcPr>
            <w:tcW w:type="dxa" w:w="46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Normalized submission result mapping</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Accepted/rejected/timeout/unknown fixtures</w:t>
            </w:r>
          </w:p>
        </w:tc>
      </w:tr>
      <w:tr>
        <w:trPr>
          <w:cantSplit/>
        </w:trPr>
        <w:tc>
          <w:tcPr>
            <w:tcW w:type="dxa" w:w="15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M02-FR-008</w:t>
            </w:r>
          </w:p>
        </w:tc>
        <w:tc>
          <w:tcPr>
            <w:tcW w:type="dxa" w:w="46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Verified recordOutcome provenance</w:t>
            </w:r>
          </w:p>
        </w:tc>
        <w:tc>
          <w:tcPr>
            <w:tcW w:type="dxa" w:w="32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Separate lifecycle timeline</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M02-FR-009</w:t>
            </w:r>
          </w:p>
        </w:tc>
        <w:tc>
          <w:tcPr>
            <w:tcW w:type="dxa" w:w="46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recordObservation plus atomic state callback</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Duplicate observation/state transaction</w:t>
            </w:r>
          </w:p>
        </w:tc>
      </w:tr>
      <w:tr>
        <w:trPr>
          <w:cantSplit/>
        </w:trPr>
        <w:tc>
          <w:tcPr>
            <w:tcW w:type="dxa" w:w="15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M02-FR-010</w:t>
            </w:r>
          </w:p>
        </w:tc>
        <w:tc>
          <w:tcPr>
            <w:tcW w:type="dxa" w:w="46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Append-only tables, EXECUTE-only runtime, and SECURITY DEFINER lock gateways</w:t>
            </w:r>
          </w:p>
        </w:tc>
        <w:tc>
          <w:tcPr>
            <w:tcW w:type="dxa" w:w="32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Raw UPDATE/locking SELECT denial plus gateway lock-persistence test</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M02-FR-011</w:t>
            </w:r>
          </w:p>
        </w:tc>
        <w:tc>
          <w:tcPr>
            <w:tcW w:type="dxa" w:w="46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Two dedupe forms plus content comparison</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Retry/concurrency/conflict retention</w:t>
            </w:r>
          </w:p>
        </w:tc>
      </w:tr>
      <w:tr>
        <w:trPr>
          <w:cantSplit/>
        </w:trPr>
        <w:tc>
          <w:tcPr>
            <w:tcW w:type="dxa" w:w="15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M02-FR-012</w:t>
            </w:r>
          </w:p>
        </w:tc>
        <w:tc>
          <w:tcPr>
            <w:tcW w:type="dxa" w:w="46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Nullable patient_id, typed links, deferred subject constraint</w:t>
            </w:r>
          </w:p>
        </w:tc>
        <w:tc>
          <w:tcPr>
            <w:tcW w:type="dxa" w:w="32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Missing/cross-tenant link COMMIT rejection</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M02-FR-013</w:t>
            </w:r>
          </w:p>
        </w:tc>
        <w:tc>
          <w:tcPr>
            <w:tcW w:type="dxa" w:w="46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Three timestamps and time-quality code</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Out-of-order/untrusted-time fixtures</w:t>
            </w:r>
          </w:p>
        </w:tc>
      </w:tr>
      <w:tr>
        <w:trPr>
          <w:cantSplit/>
        </w:trPr>
        <w:tc>
          <w:tcPr>
            <w:tcW w:type="dxa" w:w="15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M02-FR-014</w:t>
            </w:r>
          </w:p>
        </w:tc>
        <w:tc>
          <w:tcPr>
            <w:tcW w:type="dxa" w:w="46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Pure ProjectionEngine algorithm</w:t>
            </w:r>
          </w:p>
        </w:tc>
        <w:tc>
          <w:tcPr>
            <w:tcW w:type="dxa" w:w="32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Ordered/shuffled/equal-rank fixtures</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M02-FR-015</w:t>
            </w:r>
          </w:p>
        </w:tc>
        <w:tc>
          <w:tcPr>
            <w:tcW w:type="dxa" w:w="46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Serialized append plus delivery_conflict event/projection/outbox</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Concurrent conflict retention and one M05 item</w:t>
            </w:r>
          </w:p>
        </w:tc>
      </w:tr>
      <w:tr>
        <w:trPr>
          <w:cantSplit/>
        </w:trPr>
        <w:tc>
          <w:tcPr>
            <w:tcW w:type="dxa" w:w="15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M02-FR-016</w:t>
            </w:r>
          </w:p>
        </w:tc>
        <w:tc>
          <w:tcPr>
            <w:tcW w:type="dxa" w:w="46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Authoritative stale-intent query, named partial scan index, and explicit indeterminate event/M06 outbox</w:t>
            </w:r>
          </w:p>
        </w:tc>
        <w:tc>
          <w:tcPr>
            <w:tcW w:type="dxa" w:w="32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Indexed anti-join, idempotent detector, no resend</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M02-FR-017</w:t>
            </w:r>
          </w:p>
        </w:tc>
        <w:tc>
          <w:tcPr>
            <w:tcW w:type="dxa" w:w="46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Correction graph and privileged append</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Original + correction + explanation</w:t>
            </w:r>
          </w:p>
        </w:tc>
      </w:tr>
      <w:tr>
        <w:trPr>
          <w:cantSplit/>
        </w:trPr>
        <w:tc>
          <w:tcPr>
            <w:tcW w:type="dxa" w:w="15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M02-FR-018</w:t>
            </w:r>
          </w:p>
        </w:tc>
        <w:tc>
          <w:tcPr>
            <w:tcW w:type="dxa" w:w="46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Shared status scope/reference validation</w:t>
            </w:r>
          </w:p>
        </w:tc>
        <w:tc>
          <w:tcPr>
            <w:tcW w:type="dxa" w:w="32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Projection-only insert rejection</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M02-FR-019</w:t>
            </w:r>
          </w:p>
        </w:tc>
        <w:tc>
          <w:tcPr>
            <w:tcW w:type="dxa" w:w="46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Versioned EventContract registry</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Historical fixture compatibility</w:t>
            </w:r>
          </w:p>
        </w:tc>
      </w:tr>
      <w:tr>
        <w:trPr>
          <w:cantSplit/>
        </w:trPr>
        <w:tc>
          <w:tcPr>
            <w:tcW w:type="dxa" w:w="15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M02-FR-020</w:t>
            </w:r>
          </w:p>
        </w:tc>
        <w:tc>
          <w:tcPr>
            <w:tcW w:type="dxa" w:w="46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JSON Schema, allowlist, 8 KiB bound</w:t>
            </w:r>
          </w:p>
        </w:tc>
        <w:tc>
          <w:tcPr>
            <w:tcW w:type="dxa" w:w="32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Prohibited field/size tests</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M02-FR-021</w:t>
            </w:r>
          </w:p>
        </w:tc>
        <w:tc>
          <w:tcPr>
            <w:tcW w:type="dxa" w:w="46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Correlation field separated from operation/link</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Cross-request workflow trace</w:t>
            </w:r>
          </w:p>
        </w:tc>
      </w:tr>
      <w:tr>
        <w:trPr>
          <w:cantSplit/>
        </w:trPr>
        <w:tc>
          <w:tcPr>
            <w:tcW w:type="dxa" w:w="15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M02-FR-022</w:t>
            </w:r>
          </w:p>
        </w:tc>
        <w:tc>
          <w:tcPr>
            <w:tcW w:type="dxa" w:w="46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Versioned provider namespace and capability-scoped uniqueness</w:t>
            </w:r>
          </w:p>
        </w:tc>
        <w:tc>
          <w:tcPr>
            <w:tcW w:type="dxa" w:w="32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Reused external ID across providers/accounts/scopes</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M02-FR-023</w:t>
            </w:r>
          </w:p>
        </w:tc>
        <w:tc>
          <w:tcPr>
            <w:tcW w:type="dxa" w:w="46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Normalized adapter outcome</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Every raw/unknown status contract test</w:t>
            </w:r>
          </w:p>
        </w:tc>
      </w:tr>
      <w:tr>
        <w:trPr>
          <w:cantSplit/>
        </w:trPr>
        <w:tc>
          <w:tcPr>
            <w:tcW w:type="dxa" w:w="15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M02-FR-024</w:t>
            </w:r>
          </w:p>
        </w:tc>
        <w:tc>
          <w:tcPr>
            <w:tcW w:type="dxa" w:w="46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M01-bound repositories</w:t>
            </w:r>
          </w:p>
        </w:tc>
        <w:tc>
          <w:tcPr>
            <w:tcW w:type="dxa" w:w="32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Forged tenant/schema/subject tests</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M02-FR-025</w:t>
            </w:r>
          </w:p>
        </w:tc>
        <w:tc>
          <w:tcPr>
            <w:tcW w:type="dxa" w:w="46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Structural M11 outbox signal</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Logging outage and PHI scan</w:t>
            </w:r>
          </w:p>
        </w:tc>
      </w:tr>
      <w:tr>
        <w:trPr>
          <w:cantSplit/>
        </w:trPr>
        <w:tc>
          <w:tcPr>
            <w:tcW w:type="dxa" w:w="15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M02-FR-026</w:t>
            </w:r>
          </w:p>
        </w:tc>
        <w:tc>
          <w:tcPr>
            <w:tcW w:type="dxa" w:w="46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Purpose-specific disposition workflow</w:t>
            </w:r>
          </w:p>
        </w:tc>
        <w:tc>
          <w:tcPr>
            <w:tcW w:type="dxa" w:w="32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Legal-hold/grant/evidence tests</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M02-FR-027</w:t>
            </w:r>
          </w:p>
        </w:tc>
        <w:tc>
          <w:tcPr>
            <w:tcW w:type="dxa" w:w="46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Trusted tenant_id and verified shared links</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Forged binding/resolution tests</w:t>
            </w:r>
          </w:p>
        </w:tc>
      </w:tr>
      <w:tr>
        <w:trPr>
          <w:cantSplit/>
        </w:trPr>
        <w:tc>
          <w:tcPr>
            <w:tcW w:type="dxa" w:w="15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M02-FR-028</w:t>
            </w:r>
          </w:p>
        </w:tc>
        <w:tc>
          <w:tcPr>
            <w:tcW w:type="dxa" w:w="46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Transactional outbox plus M02 stale-intent evidence query</w:t>
            </w:r>
          </w:p>
        </w:tc>
        <w:tc>
          <w:tcPr>
            <w:tcW w:type="dxa" w:w="32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Crash/retry/detector/consumer-dedupe tests</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M02-FR-029</w:t>
            </w:r>
          </w:p>
        </w:tc>
        <w:tc>
          <w:tcPr>
            <w:tcW w:type="dxa" w:w="46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operation_acceptance_bindings + conflict path</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Concurrent equivalent/competing identity</w:t>
            </w:r>
          </w:p>
        </w:tc>
      </w:tr>
      <w:tr>
        <w:trPr>
          <w:cantSplit/>
        </w:trPr>
        <w:tc>
          <w:tcPr>
            <w:tcW w:type="dxa" w:w="15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M02-FR-030</w:t>
            </w:r>
          </w:p>
        </w:tc>
        <w:tc>
          <w:tcPr>
            <w:tcW w:type="dxa" w:w="46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ordinary_failure M05 handoff</w:t>
            </w:r>
          </w:p>
        </w:tc>
        <w:tc>
          <w:tcPr>
            <w:tcW w:type="dxa" w:w="32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Replay to one effective work item</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M02-FR-031</w:t>
            </w:r>
          </w:p>
        </w:tc>
        <w:tc>
          <w:tcPr>
            <w:tcW w:type="dxa" w:w="46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M11/M03 correlation trust contract</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Public injection/internal propagation</w:t>
            </w:r>
          </w:p>
        </w:tc>
      </w:tr>
      <w:tr>
        <w:trPr>
          <w:cantSplit/>
        </w:trPr>
        <w:tc>
          <w:tcPr>
            <w:tcW w:type="dxa" w:w="15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M02-FR-032</w:t>
            </w:r>
          </w:p>
        </w:tc>
        <w:tc>
          <w:tcPr>
            <w:tcW w:type="dxa" w:w="46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M01 classification and shared inventory CI</w:t>
            </w:r>
          </w:p>
        </w:tc>
        <w:tc>
          <w:tcPr>
            <w:tcW w:type="dxa" w:w="32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Unclassified/PHI exception failures</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M02-FR-033</w:t>
            </w:r>
          </w:p>
        </w:tc>
        <w:tc>
          <w:tcPr>
            <w:tcW w:type="dxa" w:w="46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Bounded listOperationProjections</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No N+1/unbounded/cross-tenant result</w:t>
            </w:r>
          </w:p>
        </w:tc>
      </w:tr>
      <w:tr>
        <w:trPr>
          <w:cantSplit/>
        </w:trPr>
        <w:tc>
          <w:tcPr>
            <w:tcW w:type="dxa" w:w="15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M02-FR-034</w:t>
            </w:r>
          </w:p>
        </w:tc>
        <w:tc>
          <w:tcPr>
            <w:tcW w:type="dxa" w:w="46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Bounded tenant sweep and outbox commit-to-signal metric</w:t>
            </w:r>
          </w:p>
        </w:tc>
        <w:tc>
          <w:tcPr>
            <w:tcW w:type="dxa" w:w="32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Sweep/latency breach without rollback/replay</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M02-FR-035</w:t>
            </w:r>
          </w:p>
        </w:tc>
        <w:tc>
          <w:tcPr>
            <w:tcW w:type="dxa" w:w="46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Manual resolution and linked new resend</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Distinct attributable operation and warning</w:t>
            </w:r>
          </w:p>
        </w:tc>
      </w:tr>
      <w:tr>
        <w:trPr>
          <w:cantSplit/>
        </w:trPr>
        <w:tc>
          <w:tcPr>
            <w:tcW w:type="dxa" w:w="15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M02-NFR-001</w:t>
            </w:r>
          </w:p>
        </w:tc>
        <w:tc>
          <w:tcPr>
            <w:tcW w:type="dxa" w:w="46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Cloud SQL commit defines success</w:t>
            </w:r>
          </w:p>
        </w:tc>
        <w:tc>
          <w:tcPr>
            <w:tcW w:type="dxa" w:w="32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Commit/log-outage fault injection</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M02-NFR-002</w:t>
            </w:r>
          </w:p>
        </w:tc>
        <w:tc>
          <w:tcPr>
            <w:tcW w:type="dxa" w:w="46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Fail closed before required intent, including cold-process Cloud KMS dependency</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Warm/cold dependency outage behavior; no provider call</w:t>
            </w:r>
          </w:p>
        </w:tc>
      </w:tr>
      <w:tr>
        <w:trPr>
          <w:cantSplit/>
        </w:trPr>
        <w:tc>
          <w:tcPr>
            <w:tcW w:type="dxa" w:w="15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M02-NFR-003</w:t>
            </w:r>
          </w:p>
        </w:tc>
        <w:tc>
          <w:tcPr>
            <w:tcW w:type="dxa" w:w="46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Definer-gateway per-operation locks, constraints, pure engine, fenced outbox</w:t>
            </w:r>
          </w:p>
        </w:tc>
        <w:tc>
          <w:tcPr>
            <w:tcW w:type="dxa" w:w="32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Privilege denial, lock persistence, barrier-synchronized conflict, and deadlock regression</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M02-NFR-004</w:t>
            </w:r>
          </w:p>
        </w:tc>
        <w:tc>
          <w:tcPr>
            <w:tcW w:type="dxa" w:w="46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Hybrid projection and indexes</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Representative latency/query-cost tests</w:t>
            </w:r>
          </w:p>
        </w:tc>
      </w:tr>
      <w:tr>
        <w:trPr>
          <w:cantSplit/>
        </w:trPr>
        <w:tc>
          <w:tcPr>
            <w:tcW w:type="dxa" w:w="15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M02-NFR-005</w:t>
            </w:r>
          </w:p>
        </w:tc>
        <w:tc>
          <w:tcPr>
            <w:tcW w:type="dxa" w:w="46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Versioned contracts/engine plus database-controlled key version and live producer compatibility gate</w:t>
            </w:r>
          </w:p>
        </w:tc>
        <w:tc>
          <w:tcPr>
            <w:tcW w:type="dxa" w:w="32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Rolling deployment registration/key rotation/historical replay</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M02-NFR-006</w:t>
            </w:r>
          </w:p>
        </w:tc>
        <w:tc>
          <w:tcPr>
            <w:tcW w:type="dxa" w:w="46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PHI-safe signal catalog</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Metric/dashboard verification</w:t>
            </w:r>
          </w:p>
        </w:tc>
      </w:tr>
      <w:tr>
        <w:trPr>
          <w:cantSplit/>
        </w:trPr>
        <w:tc>
          <w:tcPr>
            <w:tcW w:type="dxa" w:w="15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M02-NFR-007</w:t>
            </w:r>
          </w:p>
        </w:tc>
        <w:tc>
          <w:tcPr>
            <w:tcW w:type="dxa" w:w="46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Owned failure/conflict/lag/abuse alerts</w:t>
            </w:r>
          </w:p>
        </w:tc>
        <w:tc>
          <w:tcPr>
            <w:tcW w:type="dxa" w:w="32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Alert routing exercises</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M02-NFR-008</w:t>
            </w:r>
          </w:p>
        </w:tc>
        <w:tc>
          <w:tcPr>
            <w:tcW w:type="dxa" w:w="46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Bounded full-range replay</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Clean/interrupted equality; no side effects</w:t>
            </w:r>
          </w:p>
        </w:tc>
      </w:tr>
      <w:tr>
        <w:trPr>
          <w:cantSplit/>
        </w:trPr>
        <w:tc>
          <w:tcPr>
            <w:tcW w:type="dxa" w:w="15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M02-NFR-009</w:t>
            </w:r>
          </w:p>
        </w:tc>
        <w:tc>
          <w:tcPr>
            <w:tcW w:type="dxa" w:w="46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Paged tenant sweep, bounds, pagination, backpressure</w:t>
            </w:r>
          </w:p>
        </w:tc>
        <w:tc>
          <w:tcPr>
            <w:tcW w:type="dxa" w:w="32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Tenant-growth/noisy-neighbor objective test</w:t>
            </w:r>
          </w:p>
        </w:tc>
      </w:tr>
      <w:tr>
        <w:trPr>
          <w:cantSplit/>
        </w:trPr>
        <w:tc>
          <w:tcPr>
            <w:tcW w:type="dxa" w:w="15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M02-NFR-010</w:t>
            </w:r>
          </w:p>
        </w:tc>
        <w:tc>
          <w:tcPr>
            <w:tcW w:type="dxa" w:w="46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Privileged roles, audit, integrity verifier, signed locked exports</w:t>
            </w:r>
          </w:p>
        </w:tc>
        <w:tc>
          <w:tcPr>
            <w:tcW w:type="dxa" w:w="32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Mutation, restore/digest, gap false-positive tests</w:t>
            </w:r>
          </w:p>
        </w:tc>
      </w:tr>
    </w:tbl>
    <w:p>
      <w:pPr>
        <w:spacing w:after="40"/>
      </w:pPr>
    </w:p>
    <w:p>
      <w:pPr>
        <w:pStyle w:val="Heading1"/>
        <w:keepNext/>
      </w:pPr>
      <w:r>
        <w:t>Appendix A. Repository and implementation controls</w:t>
      </w:r>
    </w:p>
    <w:p>
      <w:pPr>
        <w:pStyle w:val="ListBullet"/>
        <w:keepLines/>
      </w:pPr>
      <w:r>
        <w:t>Only the M02 package exports OperationService, EventAppendService, ContractRegistry, ProjectionEngine, repositories, and handoff codecs; modules consume typed interfaces.</w:t>
      </w:r>
    </w:p>
    <w:p>
      <w:pPr>
        <w:pStyle w:val="ListBullet"/>
        <w:keepLines/>
      </w:pPr>
      <w:r>
        <w:t>Static checks reject direct patient_events mutation outside M02 migrations/tests, any runtime raw UPDATE or direct SELECT FOR UPDATE/KEY SHARE on M02 tables, bypass of m02_lock_operation/m02_begin_key_scope, provider calls without a committed OperationStart, caller schema parameters, untyped metadata dicts, projection status literals outside generated references, and bypass of the active business-key version contract.</w:t>
      </w:r>
    </w:p>
    <w:p>
      <w:pPr>
        <w:pStyle w:val="ListBullet"/>
        <w:keepLines/>
      </w:pPr>
      <w:r>
        <w:t>Event and handoff schemas generate typed producer/consumer fixtures from the same versioned contract source; generated code is reviewed and pinned by checksum.</w:t>
      </w:r>
    </w:p>
    <w:p>
      <w:pPr>
        <w:pStyle w:val="ListBullet"/>
        <w:keepLines/>
      </w:pPr>
      <w:r>
        <w:t>Database migrations include reference seeds, contract/provider-capability rows, producer-key capability registration, patient subject trigger, key-version controls, idx_patient_events_stale_intent_scan, the NOLOGIN definer owner, schema-qualified lock/rotation gateways with safe search_path and PUBLIC revocation, runtime EXECUTE-only grants, classification entries, startup compatibility declarations, and rollback/forward-fix notes in one change set.</w:t>
      </w:r>
    </w:p>
    <w:p>
      <w:pPr>
        <w:pStyle w:val="ListBullet"/>
        <w:keepLines/>
      </w:pPr>
      <w:r>
        <w:t>Replay tooling runs under an identity without provider-adapter capability and emits a signed run manifest containing tenant, range, snapshot, engine version, row counts, fingerprints, elapsed time, and result.</w:t>
      </w:r>
    </w:p>
    <w:p>
      <w:pPr>
        <w:pStyle w:val="ListBullet"/>
        <w:keepLines/>
      </w:pPr>
      <w:r>
        <w:t>Integration fixtures use at least two tenants with identical operation/subject/provider identifiers to prove tenant scoping at every boundary.</w:t>
      </w:r>
    </w:p>
    <w:p>
      <w:pPr>
        <w:pStyle w:val="Heading1"/>
        <w:keepNext/>
      </w:pPr>
      <w:r>
        <w:t>Appendix B. Source basis and assumptions</w:t>
      </w:r>
    </w:p>
    <w:p>
      <w:r>
        <w:rPr>
          <w:rFonts w:ascii="Calibri" w:hAnsi="Calibri" w:eastAsia="Calibri"/>
          <w:i w:val="0"/>
          <w:color w:val="243746"/>
        </w:rPr>
        <w:t>Primary design basis: M02 Detailed Requirements — Event and Operation Foundation, Approved 1.0, 28 August 2026.</w:t>
      </w:r>
    </w:p>
    <w:p>
      <w:r>
        <w:rPr>
          <w:rFonts w:ascii="Calibri" w:hAnsi="Calibri" w:eastAsia="Calibri"/>
          <w:i w:val="0"/>
          <w:color w:val="243746"/>
        </w:rPr>
        <w:t>Supporting sources and assumptions:</w:t>
      </w:r>
    </w:p>
    <w:p>
      <w:pPr>
        <w:pStyle w:val="ListBullet"/>
        <w:keepLines/>
      </w:pPr>
      <w:r>
        <w:t>M01 Technical Design — Tenant Context and Data Access, Draft 0.2, 26 August 2026, supplies the mandatory tenant context, transaction gateway, role, pool, and PHI-safe telemetry boundaries.</w:t>
      </w:r>
    </w:p>
    <w:p>
      <w:pPr>
        <w:pStyle w:val="ListBullet"/>
        <w:keepLines/>
      </w:pPr>
      <w:r>
        <w:t>Track B Event Tracking Requirements v2.4 and architecture decisions ADR-003, ADR-005, and ADR-007 provide historical context; approved M02 requirements control refined semantics.</w:t>
      </w:r>
    </w:p>
    <w:p>
      <w:pPr>
        <w:pStyle w:val="ListBullet"/>
        <w:keepLines/>
      </w:pPr>
      <w:r>
        <w:t>Cloud SQL PostgreSQL 17 is the authoritative event store. Shared reference/control data follows the M01 classification and access model.</w:t>
      </w:r>
    </w:p>
    <w:p>
      <w:pPr>
        <w:pStyle w:val="ListBullet"/>
        <w:keepLines/>
      </w:pPr>
      <w:r>
        <w:t>External callbacks are at least once and may arrive out of order. Provider lookup, idempotency, echoed-reference, and timestamp capabilities remain adapter-specific and require M02-OI-005 evidence.</w:t>
      </w:r>
    </w:p>
    <w:p>
      <w:pPr>
        <w:pStyle w:val="ListBullet"/>
        <w:keepLines/>
      </w:pPr>
      <w:r>
        <w:t>M03 owns validated durable intake; M05 owns staff work; M06 owns scheduling and mutable reconciliation; M11 owns correlation governance and observability operations.</w:t>
      </w:r>
    </w:p>
    <w:p>
      <w:pPr>
        <w:pStyle w:val="ListBullet"/>
        <w:keepLines/>
      </w:pPr>
      <w:r>
        <w:t>Exact retention, legal-hold, privileged-change, service-objective, and capacity values remain gated open items and are not invented by this design.</w:t>
      </w:r>
    </w:p>
    <w:p>
      <w:pPr>
        <w:pStyle w:val="Heading1"/>
        <w:keepNext/>
      </w:pPr>
      <w:r>
        <w:t>Appendix C. Design review checklist</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1800"/>
        <w:gridCol w:w="3850"/>
        <w:gridCol w:w="3710"/>
      </w:tblGrid>
      <w:tr>
        <w:trPr>
          <w:tblHeader w:val="true"/>
          <w:cantSplit/>
        </w:trPr>
        <w:tc>
          <w:tcPr>
            <w:tcW w:type="dxa" w:w="180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Review</w:t>
            </w:r>
          </w:p>
        </w:tc>
        <w:tc>
          <w:tcPr>
            <w:tcW w:type="dxa" w:w="385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Approval question</w:t>
            </w:r>
          </w:p>
        </w:tc>
        <w:tc>
          <w:tcPr>
            <w:tcW w:type="dxa" w:w="371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Required evidence / outcome</w:t>
            </w:r>
          </w:p>
        </w:tc>
      </w:tr>
      <w:tr>
        <w:trPr>
          <w:cantSplit/>
        </w:trPr>
        <w:tc>
          <w:tcPr>
            <w:tcW w:type="dxa" w:w="18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Architecture</w:t>
            </w:r>
          </w:p>
        </w:tc>
        <w:tc>
          <w:tcPr>
            <w:tcW w:type="dxa" w:w="38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Are D-02–D-09 accepted and reflected in ADR-011?</w:t>
            </w:r>
          </w:p>
        </w:tc>
        <w:tc>
          <w:tcPr>
            <w:tcW w:type="dxa" w:w="37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Approved ADR scope, decision owner, and supersession record.</w:t>
            </w:r>
          </w:p>
        </w:tc>
      </w:tr>
      <w:tr>
        <w:trPr>
          <w:cantSplit/>
        </w:trPr>
        <w:tc>
          <w:tcPr>
            <w:tcW w:type="dxa" w:w="18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Data architecture</w:t>
            </w:r>
          </w:p>
        </w:tc>
        <w:tc>
          <w:tcPr>
            <w:tcW w:type="dxa" w:w="38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Are table boundaries, constraints, indexes, contract rollout, and rebuild semantics implementable?</w:t>
            </w:r>
          </w:p>
        </w:tc>
        <w:tc>
          <w:tcPr>
            <w:tcW w:type="dxa" w:w="37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Schema review, migration plan, explain-plan targets, and compatibility matrix.</w:t>
            </w:r>
          </w:p>
        </w:tc>
      </w:tr>
      <w:tr>
        <w:trPr>
          <w:cantSplit/>
        </w:trPr>
        <w:tc>
          <w:tcPr>
            <w:tcW w:type="dxa" w:w="18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Security</w:t>
            </w:r>
          </w:p>
        </w:tc>
        <w:tc>
          <w:tcPr>
            <w:tcW w:type="dxa" w:w="38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Do roles, append-only enforcement, correction authority, dedupe conflict, replay, and integrity controls fail safe?</w:t>
            </w:r>
          </w:p>
        </w:tc>
        <w:tc>
          <w:tcPr>
            <w:tcW w:type="dxa" w:w="37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Threat-model sign-off, grants manifest, negative-test plan, and OI-010 decision.</w:t>
            </w:r>
          </w:p>
        </w:tc>
      </w:tr>
      <w:tr>
        <w:trPr>
          <w:cantSplit/>
        </w:trPr>
        <w:tc>
          <w:tcPr>
            <w:tcW w:type="dxa" w:w="18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Privacy / compliance</w:t>
            </w:r>
          </w:p>
        </w:tc>
        <w:tc>
          <w:tcPr>
            <w:tcW w:type="dxa" w:w="38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Are metadata, retention, legal hold, correction, export, and disposition minimum necessary and lawful?</w:t>
            </w:r>
          </w:p>
        </w:tc>
        <w:tc>
          <w:tcPr>
            <w:tcW w:type="dxa" w:w="37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Classification manifest, retention/disposition policy, and privileged-audit approval.</w:t>
            </w:r>
          </w:p>
        </w:tc>
      </w:tr>
      <w:tr>
        <w:trPr>
          <w:cantSplit/>
        </w:trPr>
        <w:tc>
          <w:tcPr>
            <w:tcW w:type="dxa" w:w="18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SRE</w:t>
            </w:r>
          </w:p>
        </w:tc>
        <w:tc>
          <w:tcPr>
            <w:tcW w:type="dxa" w:w="38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Are handoff recovery, monitoring, capacity, fairness, and rollback operable?</w:t>
            </w:r>
          </w:p>
        </w:tc>
        <w:tc>
          <w:tcPr>
            <w:tcW w:type="dxa" w:w="37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OI-009 objectives, dashboards/alerts, runbooks, load and recovery test plan.</w:t>
            </w:r>
          </w:p>
        </w:tc>
      </w:tr>
      <w:tr>
        <w:trPr>
          <w:cantSplit/>
        </w:trPr>
        <w:tc>
          <w:tcPr>
            <w:tcW w:type="dxa" w:w="18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Integration / product</w:t>
            </w:r>
          </w:p>
        </w:tc>
        <w:tc>
          <w:tcPr>
            <w:tcW w:type="dxa" w:w="385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Are provider idempotency, lookup, callback identity/time, conflict, and resend behaviors supported?</w:t>
            </w:r>
          </w:p>
        </w:tc>
        <w:tc>
          <w:tcPr>
            <w:tcW w:type="dxa" w:w="37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OI-005 capability evidence and approved safe fallback per adapter.</w:t>
            </w:r>
          </w:p>
        </w:tc>
      </w:tr>
      <w:tr>
        <w:trPr>
          <w:cantSplit/>
        </w:trPr>
        <w:tc>
          <w:tcPr>
            <w:tcW w:type="dxa" w:w="18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M03/M05/M06/M10/M11 owners</w:t>
            </w:r>
          </w:p>
        </w:tc>
        <w:tc>
          <w:tcPr>
            <w:tcW w:type="dxa" w:w="385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Do versioned handoff/query contracts preserve each module's ownership and converge under replay?</w:t>
            </w:r>
          </w:p>
        </w:tc>
        <w:tc>
          <w:tcPr>
            <w:tcW w:type="dxa" w:w="37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Consumer contract tests, deterministic keys, compatibility versions, and named on-call owners.</w:t>
            </w:r>
          </w:p>
        </w:tc>
      </w:tr>
    </w:tbl>
    <w:p>
      <w:pPr>
        <w:spacing w:after="40"/>
      </w:pPr>
    </w:p>
    <w:p>
      <w:pPr>
        <w:spacing w:before="100" w:after="180" w:line="259" w:lineRule="auto"/>
        <w:ind w:left="173" w:right="173"/>
        <w:shd w:fill="E8EEF5"/>
        <w:pBdr>
          <w:left w:val="single" w:sz="18" w:space="8" w:color="16324F"/>
        </w:pBdr>
        <w:keepLines/>
      </w:pPr>
      <w:r>
        <w:rPr>
          <w:rFonts w:ascii="Calibri" w:hAnsi="Calibri" w:eastAsia="Calibri"/>
          <w:b/>
          <w:color w:val="16324F"/>
        </w:rPr>
        <w:t xml:space="preserve">Approval result. </w:t>
      </w:r>
      <w:r>
        <w:rPr>
          <w:rFonts w:ascii="Calibri" w:hAnsi="Calibri" w:eastAsia="Calibri"/>
          <w:color w:val="243746"/>
        </w:rPr>
        <w:t>Approved as the M02 implementation design baseline on 30 August 2026 after closure of T1-T8 and V1-V5. This approval does not waive ADR-011, schema-freeze evidence, provider capability, retention, OI-009 service objectives, recovery exercises, or pilot/production readiness gates.</w:t>
      </w:r>
    </w:p>
    <w:p>
      <w:pPr>
        <w:pStyle w:val="Heading1"/>
        <w:keepNext/>
      </w:pPr>
      <w:r>
        <w:t>Appendix D. v0.3 review disposition and approval</w:t>
      </w:r>
    </w:p>
    <w:tbl>
      <w:tblPr>
        <w:tblW w:type="dxa" w:w="9360"/>
        <w:tblLayout w:type="fixed"/>
        <w:tblLook w:firstColumn="1" w:firstRow="1" w:lastColumn="0" w:lastRow="0" w:noHBand="0" w:noVBand="1" w:val="04A0"/>
        <w:jc w:val="left"/>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Ind w:w="120" w:type="dxa"/>
      </w:tblPr>
      <w:tblGrid>
        <w:gridCol w:w="1050"/>
        <w:gridCol w:w="2200"/>
        <w:gridCol w:w="6110"/>
      </w:tblGrid>
      <w:tr>
        <w:trPr>
          <w:tblHeader w:val="true"/>
          <w:cantSplit/>
        </w:trPr>
        <w:tc>
          <w:tcPr>
            <w:tcW w:type="dxa" w:w="105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ID</w:t>
            </w:r>
          </w:p>
        </w:tc>
        <w:tc>
          <w:tcPr>
            <w:tcW w:type="dxa" w:w="220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Disposition</w:t>
            </w:r>
          </w:p>
        </w:tc>
        <w:tc>
          <w:tcPr>
            <w:tcW w:type="dxa" w:w="6110"/>
            <w:shd w:fill="E8EEF5"/>
            <w:tcMar>
              <w:top w:w="100" w:type="dxa"/>
              <w:start w:w="120" w:type="dxa"/>
              <w:bottom w:w="100" w:type="dxa"/>
              <w:end w:w="120" w:type="dxa"/>
            </w:tcMar>
            <w:vAlign w:val="center"/>
          </w:tcPr>
          <w:p>
            <w:pPr>
              <w:spacing w:after="0" w:line="252" w:lineRule="auto"/>
            </w:pPr>
            <w:r>
              <w:rPr>
                <w:rFonts w:ascii="Calibri" w:hAnsi="Calibri" w:eastAsia="Calibri"/>
                <w:b/>
                <w:color w:val="16324F"/>
                <w:sz w:val="15"/>
              </w:rPr>
              <w:t>v0.3 resolution</w:t>
            </w:r>
          </w:p>
        </w:tc>
      </w:tr>
      <w:tr>
        <w:trPr>
          <w:cantSplit/>
        </w:trPr>
        <w:tc>
          <w:tcPr>
            <w:tcW w:type="dxa" w:w="10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T1</w:t>
            </w:r>
          </w:p>
        </w:tc>
        <w:tc>
          <w:tcPr>
            <w:tcW w:type="dxa" w:w="22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Accepted - high</w:t>
            </w:r>
          </w:p>
        </w:tc>
        <w:tc>
          <w:tcPr>
            <w:tcW w:type="dxa" w:w="61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operation_registry row lock serializes complete-set projection and conflict/outbox creation; barrier test required.</w:t>
            </w:r>
          </w:p>
        </w:tc>
      </w:tr>
      <w:tr>
        <w:trPr>
          <w:cantSplit/>
        </w:trPr>
        <w:tc>
          <w:tcPr>
            <w:tcW w:type="dxa" w:w="10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T2</w:t>
            </w:r>
          </w:p>
        </w:tc>
        <w:tc>
          <w:tcPr>
            <w:tcW w:type="dxa" w:w="22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Accepted - high</w:t>
            </w:r>
          </w:p>
        </w:tc>
        <w:tc>
          <w:tcPr>
            <w:tcW w:type="dxa" w:w="61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Single database-controlled active write version with compatible lookup retention and control-row lock during rotation.</w:t>
            </w:r>
          </w:p>
        </w:tc>
      </w:tr>
      <w:tr>
        <w:trPr>
          <w:cantSplit/>
        </w:trPr>
        <w:tc>
          <w:tcPr>
            <w:tcW w:type="dxa" w:w="10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T3</w:t>
            </w:r>
          </w:p>
        </w:tc>
        <w:tc>
          <w:tcPr>
            <w:tcW w:type="dxa" w:w="22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Accepted with implementation refinement</w:t>
            </w:r>
          </w:p>
        </w:tc>
        <w:tc>
          <w:tcPr>
            <w:tcW w:type="dxa" w:w="61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Approved procedures deny raw runtime mutation; deferred constraint trigger independently enforces patient_id-or-link at COMMIT.</w:t>
            </w:r>
          </w:p>
        </w:tc>
      </w:tr>
      <w:tr>
        <w:trPr>
          <w:cantSplit/>
        </w:trPr>
        <w:tc>
          <w:tcPr>
            <w:tcW w:type="dxa" w:w="10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T4</w:t>
            </w:r>
          </w:p>
        </w:tc>
        <w:tc>
          <w:tcPr>
            <w:tcW w:type="dxa" w:w="22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Accepted</w:t>
            </w:r>
          </w:p>
        </w:tc>
        <w:tc>
          <w:tcPr>
            <w:tcW w:type="dxa" w:w="61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Nullable patient_id restored; patient and link indexes receive explain-plan targets. No requirements deviation remains.</w:t>
            </w:r>
          </w:p>
        </w:tc>
      </w:tr>
      <w:tr>
        <w:trPr>
          <w:cantSplit/>
        </w:trPr>
        <w:tc>
          <w:tcPr>
            <w:tcW w:type="dxa" w:w="10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T5</w:t>
            </w:r>
          </w:p>
        </w:tc>
        <w:tc>
          <w:tcPr>
            <w:tcW w:type="dxa" w:w="22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Accepted</w:t>
            </w:r>
          </w:p>
        </w:tc>
        <w:tc>
          <w:tcPr>
            <w:tcW w:type="dxa" w:w="61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Cloud KMS-protected tenant/version key custody, bounded cache, fail-closed behavior, rotation, backup, and loss recovery specified.</w:t>
            </w:r>
          </w:p>
        </w:tc>
      </w:tr>
      <w:tr>
        <w:trPr>
          <w:cantSplit/>
        </w:trPr>
        <w:tc>
          <w:tcPr>
            <w:tcW w:type="dxa" w:w="10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T6</w:t>
            </w:r>
          </w:p>
        </w:tc>
        <w:tc>
          <w:tcPr>
            <w:tcW w:type="dxa" w:w="22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Accepted</w:t>
            </w:r>
          </w:p>
        </w:tc>
        <w:tc>
          <w:tcPr>
            <w:tcW w:type="dxa" w:w="61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listStaleIntents authoritative anti-join and M06 detector responsibilities specified.</w:t>
            </w:r>
          </w:p>
        </w:tc>
      </w:tr>
      <w:tr>
        <w:trPr>
          <w:cantSplit/>
        </w:trPr>
        <w:tc>
          <w:tcPr>
            <w:tcW w:type="dxa" w:w="10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T7</w:t>
            </w:r>
          </w:p>
        </w:tc>
        <w:tc>
          <w:tcPr>
            <w:tcW w:type="dxa" w:w="22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Partially accepted</w:t>
            </w:r>
          </w:p>
        </w:tc>
        <w:tc>
          <w:tcPr>
            <w:tcW w:type="dxa" w:w="61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Removed 'where safe'; provider capability declares namespace uniqueness scope and activates a precise partial unique index.</w:t>
            </w:r>
          </w:p>
        </w:tc>
      </w:tr>
      <w:tr>
        <w:trPr>
          <w:cantSplit/>
        </w:trPr>
        <w:tc>
          <w:tcPr>
            <w:tcW w:type="dxa" w:w="10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T8</w:t>
            </w:r>
          </w:p>
        </w:tc>
        <w:tc>
          <w:tcPr>
            <w:tcW w:type="dxa" w:w="22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Partially accepted</w:t>
            </w:r>
          </w:p>
        </w:tc>
        <w:tc>
          <w:tcPr>
            <w:tcW w:type="dxa" w:w="61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Paged fair tenant sweep, metrics, OI-009 bounds, and architecture review trigger specified.</w:t>
            </w:r>
          </w:p>
        </w:tc>
      </w:tr>
      <w:tr>
        <w:trPr>
          <w:cantSplit/>
        </w:trPr>
        <w:tc>
          <w:tcPr>
            <w:tcW w:type="dxa" w:w="10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Minor 1</w:t>
            </w:r>
          </w:p>
        </w:tc>
        <w:tc>
          <w:tcPr>
            <w:tcW w:type="dxa" w:w="22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Clarified</w:t>
            </w:r>
          </w:p>
        </w:tc>
        <w:tc>
          <w:tcPr>
            <w:tcW w:type="dxa" w:w="61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Application code orchestrates one transaction; runtime executes purpose-specific procedures and has no raw table mutation grants.</w:t>
            </w:r>
          </w:p>
        </w:tc>
      </w:tr>
      <w:tr>
        <w:trPr>
          <w:cantSplit/>
        </w:trPr>
        <w:tc>
          <w:tcPr>
            <w:tcW w:type="dxa" w:w="10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Minor 2</w:t>
            </w:r>
          </w:p>
        </w:tc>
        <w:tc>
          <w:tcPr>
            <w:tcW w:type="dxa" w:w="22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Accepted</w:t>
            </w:r>
          </w:p>
        </w:tc>
        <w:tc>
          <w:tcPr>
            <w:tcW w:type="dxa" w:w="61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Retention-locked encrypted exports and signed PHI-free manifests now define the proposed compensating control.</w:t>
            </w:r>
          </w:p>
        </w:tc>
      </w:tr>
      <w:tr>
        <w:trPr>
          <w:cantSplit/>
        </w:trPr>
        <w:tc>
          <w:tcPr>
            <w:tcW w:type="dxa" w:w="10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V1</w:t>
            </w:r>
          </w:p>
        </w:tc>
        <w:tc>
          <w:tcPr>
            <w:tcW w:type="dxa" w:w="22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Closed - high</w:t>
            </w:r>
          </w:p>
        </w:tc>
        <w:tc>
          <w:tcPr>
            <w:tcW w:type="dxa" w:w="61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m02_lock_operation and m02_begin_key_scope are narrow SECURITY DEFINER gateways owned by a NOLOGIN role; runtime keeps EXECUTE only, direct locks/UPDATE remain denied, safe search_path and transaction-lifetime lock semantics are explicit.</w:t>
            </w:r>
          </w:p>
        </w:tc>
      </w:tr>
      <w:tr>
        <w:trPr>
          <w:cantSplit/>
        </w:trPr>
        <w:tc>
          <w:tcPr>
            <w:tcW w:type="dxa" w:w="10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V2</w:t>
            </w:r>
          </w:p>
        </w:tc>
        <w:tc>
          <w:tcPr>
            <w:tcW w:type="dxa" w:w="22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Closed - low</w:t>
            </w:r>
          </w:p>
        </w:tc>
        <w:tc>
          <w:tcPr>
            <w:tcW w:type="dxa" w:w="61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PHI-free live producer registrations plus deployment-generation attestation are a mandatory precondition enforced by m02_rotate_key_version.</w:t>
            </w:r>
          </w:p>
        </w:tc>
      </w:tr>
      <w:tr>
        <w:trPr>
          <w:cantSplit/>
        </w:trPr>
        <w:tc>
          <w:tcPr>
            <w:tcW w:type="dxa" w:w="10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V3</w:t>
            </w:r>
          </w:p>
        </w:tc>
        <w:tc>
          <w:tcPr>
            <w:tcW w:type="dxa" w:w="22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Closed - low</w:t>
            </w:r>
          </w:p>
        </w:tc>
        <w:tc>
          <w:tcPr>
            <w:tcW w:type="dxa" w:w="61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Null-operation observations are exempt from the registry lock, create no operation projection, and remain in authoritative events/links and the subject timeline with owning-domain atomic state.</w:t>
            </w:r>
          </w:p>
        </w:tc>
      </w:tr>
      <w:tr>
        <w:trPr>
          <w:cantSplit/>
        </w:trPr>
        <w:tc>
          <w:tcPr>
            <w:tcW w:type="dxa" w:w="10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V4</w:t>
            </w:r>
          </w:p>
        </w:tc>
        <w:tc>
          <w:tcPr>
            <w:tcW w:type="dxa" w:w="22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Closed - low</w:t>
            </w:r>
          </w:p>
        </w:tc>
        <w:tc>
          <w:tcPr>
            <w:tcW w:type="dxa" w:w="61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idx_patient_events_stale_intent_scan is named with exact predicate/order and receives a release-gating explain-plan test.</w:t>
            </w:r>
          </w:p>
        </w:tc>
      </w:tr>
      <w:tr>
        <w:trPr>
          <w:cantSplit/>
        </w:trPr>
        <w:tc>
          <w:tcPr>
            <w:tcW w:type="dxa" w:w="1050"/>
            <w:tcMar>
              <w:top w:w="100" w:type="dxa"/>
              <w:start w:w="120" w:type="dxa"/>
              <w:bottom w:w="100" w:type="dxa"/>
              <w:end w:w="120" w:type="dxa"/>
            </w:tcMar>
            <w:vAlign w:val="center"/>
          </w:tcPr>
          <w:p>
            <w:pPr>
              <w:spacing w:after="0" w:line="259" w:lineRule="auto"/>
            </w:pPr>
            <w:r>
              <w:rPr>
                <w:rFonts w:ascii="Calibri" w:hAnsi="Calibri" w:eastAsia="Calibri"/>
                <w:b/>
                <w:color w:val="243746"/>
                <w:sz w:val="15"/>
              </w:rPr>
              <w:t>V5</w:t>
            </w:r>
          </w:p>
        </w:tc>
        <w:tc>
          <w:tcPr>
            <w:tcW w:type="dxa" w:w="220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Closed - note</w:t>
            </w:r>
          </w:p>
        </w:tc>
        <w:tc>
          <w:tcPr>
            <w:tcW w:type="dxa" w:w="6110"/>
            <w:tcMar>
              <w:top w:w="100" w:type="dxa"/>
              <w:start w:w="120" w:type="dxa"/>
              <w:bottom w:w="100" w:type="dxa"/>
              <w:end w:w="120" w:type="dxa"/>
            </w:tcMar>
            <w:vAlign w:val="center"/>
          </w:tcPr>
          <w:p>
            <w:pPr>
              <w:spacing w:after="0" w:line="259" w:lineRule="auto"/>
            </w:pPr>
            <w:r>
              <w:rPr>
                <w:rFonts w:ascii="Calibri" w:hAnsi="Calibri" w:eastAsia="Calibri"/>
                <w:b w:val="0"/>
                <w:color w:val="243746"/>
                <w:sz w:val="15"/>
              </w:rPr>
              <w:t>Cloud KMS is identified as a hard cold-process dependency with OI-009 signals, warm/cold outage tests, retained-key recovery, and restore drills.</w:t>
            </w:r>
          </w:p>
        </w:tc>
      </w:tr>
      <w:tr>
        <w:trPr>
          <w:cantSplit/>
        </w:trPr>
        <w:tc>
          <w:tcPr>
            <w:tcW w:type="dxa" w:w="1050"/>
            <w:tcMar>
              <w:top w:w="100" w:type="dxa"/>
              <w:start w:w="120" w:type="dxa"/>
              <w:bottom w:w="100" w:type="dxa"/>
              <w:end w:w="120" w:type="dxa"/>
            </w:tcMar>
            <w:vAlign w:val="center"/>
            <w:shd w:fill="FAFBFC"/>
          </w:tcPr>
          <w:p>
            <w:pPr>
              <w:spacing w:after="0" w:line="259" w:lineRule="auto"/>
            </w:pPr>
            <w:r>
              <w:rPr>
                <w:rFonts w:ascii="Calibri" w:hAnsi="Calibri" w:eastAsia="Calibri"/>
                <w:b/>
                <w:color w:val="243746"/>
                <w:sz w:val="15"/>
              </w:rPr>
              <w:t>Approval</w:t>
            </w:r>
          </w:p>
        </w:tc>
        <w:tc>
          <w:tcPr>
            <w:tcW w:type="dxa" w:w="220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Approved</w:t>
            </w:r>
          </w:p>
        </w:tc>
        <w:tc>
          <w:tcPr>
            <w:tcW w:type="dxa" w:w="6110"/>
            <w:tcMar>
              <w:top w:w="100" w:type="dxa"/>
              <w:start w:w="120" w:type="dxa"/>
              <w:bottom w:w="100" w:type="dxa"/>
              <w:end w:w="120" w:type="dxa"/>
            </w:tcMar>
            <w:vAlign w:val="center"/>
            <w:shd w:fill="FAFBFC"/>
          </w:tcPr>
          <w:p>
            <w:pPr>
              <w:spacing w:after="0" w:line="259" w:lineRule="auto"/>
            </w:pPr>
            <w:r>
              <w:rPr>
                <w:rFonts w:ascii="Calibri" w:hAnsi="Calibri" w:eastAsia="Calibri"/>
                <w:b w:val="0"/>
                <w:color w:val="243746"/>
                <w:sz w:val="15"/>
              </w:rPr>
              <w:t>No open critical or high design-review findings. Approved implementation baseline; separately owned schema-freeze, pilot, and production-readiness gates remain.</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B6770"/>
        <w:sz w:val="16"/>
      </w:rPr>
      <w:t xml:space="preserve">M02 • Approved 0.3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color w:val="5B6770"/>
        <w:sz w:val="16"/>
      </w:rPr>
      <w:t>HALOFLOW  |  TECHNICAL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720"/>
        </w:tabs>
        <w:ind w:left="720" w:hanging="360"/>
      </w:pPr>
    </w:lvl>
  </w:abstractNum>
  <w:num w:numId="10">
    <w:abstractNumId w:val="9"/>
  </w:num>
  <w:abstractNum w:abstractNumId="10">
    <w:multiLevelType w:val="singleLevel"/>
    <w:lvl w:ilvl="0">
      <w:start w:val="1"/>
      <w:numFmt w:val="decimal"/>
      <w:lvlText w:val="%1."/>
      <w:lvlJc w:val="left"/>
      <w:pPr>
        <w:tabs>
          <w:tab w:val="num" w:pos="720"/>
        </w:tabs>
        <w:ind w:left="720" w:hanging="360"/>
      </w:pPr>
    </w:lvl>
  </w:abstractNum>
  <w:num w:numId="11">
    <w:abstractNumId w:val="10"/>
  </w:num>
  <w:abstractNum w:abstractNumId="11">
    <w:multiLevelType w:val="singleLevel"/>
    <w:lvl w:ilvl="0">
      <w:start w:val="1"/>
      <w:numFmt w:val="decimal"/>
      <w:lvlText w:val="%1."/>
      <w:lvlJc w:val="left"/>
      <w:pPr>
        <w:tabs>
          <w:tab w:val="num" w:pos="720"/>
        </w:tabs>
        <w:ind w:left="720" w:hanging="360"/>
      </w:p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4374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Calibri" w:hAnsi="Calibri"/>
      <w:b/>
      <w:color w:val="16324F"/>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Calibri" w:hAnsi="Calibri"/>
      <w:i w:val="0"/>
      <w:iCs/>
      <w:color w:val="5B677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color w:val="243746"/>
      <w:sz w:val="22"/>
    </w:rPr>
  </w:style>
  <w:style w:type="paragraph" w:styleId="ListBullet2">
    <w:name w:val="List Bullet 2"/>
    <w:basedOn w:val="Normal"/>
    <w:uiPriority w:val="99"/>
    <w:unhideWhenUsed/>
    <w:rsid w:val="00326F90"/>
    <w:pPr>
      <w:numPr>
        <w:numId w:val="2"/>
      </w:numPr>
      <w:spacing w:after="160" w:line="280" w:lineRule="auto"/>
      <w:ind w:left="1080" w:hanging="360"/>
      <w:contextualSpacing/>
    </w:pPr>
    <w:rPr>
      <w:rFonts w:ascii="Calibri" w:hAnsi="Calibri"/>
      <w:color w:val="243746"/>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color w:val="243746"/>
      <w:sz w:val="22"/>
    </w:rPr>
  </w:style>
  <w:style w:type="paragraph" w:styleId="ListNumber2">
    <w:name w:val="List Number 2"/>
    <w:basedOn w:val="Normal"/>
    <w:uiPriority w:val="99"/>
    <w:unhideWhenUsed/>
    <w:rsid w:val="0029639D"/>
    <w:pPr>
      <w:numPr>
        <w:numId w:val="6"/>
      </w:numPr>
      <w:spacing w:after="160" w:line="280" w:lineRule="auto"/>
      <w:ind w:left="1080" w:hanging="360"/>
      <w:contextualSpacing/>
    </w:pPr>
    <w:rPr>
      <w:rFonts w:ascii="Calibri" w:hAnsi="Calibri"/>
      <w:color w:val="243746"/>
      <w:sz w:val="22"/>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60"/>
    </w:pPr>
    <w:rPr>
      <w:rFonts w:ascii="Calibri" w:hAnsi="Calibri"/>
      <w:b/>
      <w:bCs/>
      <w:i/>
      <w:color w:val="5B677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00" w:line="240" w:lineRule="auto"/>
      <w:ind w:left="259" w:right="259"/>
    </w:pPr>
    <w:rPr>
      <w:rFonts w:ascii="Consolas" w:hAnsi="Consolas"/>
      <w:color w:val="1F4D7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M02 Technical Design — Event and Operation Foundation</dc:title>
  <dc:subject>HaloFlow Medical Solution</dc:subject>
  <dc:creator>HaloFlow</dc:creator>
  <cp:keywords/>
  <dc:description>Approved design baseline v0.3 based on M02 Detailed Requirements, Approved 1.0; closes design review T1-T8 and V1-V5</dc:description>
  <cp:lastModifiedBy/>
  <cp:revision>1</cp:revision>
  <dcterms:created xsi:type="dcterms:W3CDTF">2013-12-23T23:15:00Z</dcterms:created>
  <dcterms:modified xsi:type="dcterms:W3CDTF">2013-12-23T23:15:00Z</dcterms:modified>
  <cp:category/>
</cp:coreProperties>
</file>