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8"/>
          <w:szCs w:val="28"/>
        </w:rPr>
        <w:t xml:space="preserve">Halo Holdings — Track B</w:t>
      </w:r>
    </w:p>
    <w:p>
      <w:pPr>
        <w:spacing w:after="120"/>
      </w:pPr>
      <w:r>
        <w:rPr>
          <w:b/>
          <w:bCs/>
          <w:sz w:val="26"/>
          <w:szCs w:val="26"/>
        </w:rPr>
        <w:t xml:space="preserve">HaloFlow / HaloVox Medical — Use Case Roadmap</w:t>
      </w:r>
    </w:p>
    <w:p>
      <w:pPr>
        <w:spacing w:after="60"/>
      </w:pPr>
      <w:r>
        <w:rPr>
          <w:i/>
          <w:iCs/>
          <w:sz w:val="20"/>
          <w:szCs w:val="20"/>
        </w:rPr>
        <w:t xml:space="preserve">Working document for further discussion. Reflects use-case scoping decisions as of the Tier 2 planning conversations to date.</w:t>
      </w:r>
    </w:p>
    <w:p>
      <w:pPr>
        <w:spacing w:after="60"/>
      </w:pPr>
      <w:r>
        <w:rPr>
          <w:i/>
          <w:iCs/>
          <w:sz w:val="20"/>
          <w:szCs w:val="20"/>
        </w:rPr>
        <w:t xml:space="preserve">Version 4 — Last updated: August 31, 2026</w:t>
      </w:r>
    </w:p>
    <w:p>
      <w:pPr>
        <w:spacing w:after="240"/>
      </w:pPr>
      <w:r>
        <w:rPr>
          <w:i/>
          <w:iCs/>
          <w:sz w:val="20"/>
          <w:szCs w:val="20"/>
        </w:rPr>
        <w:t xml:space="preserve">Change from v3: all EMR references are now vendor-neutral. The roadmap no longer names a specific EMR; EMR selection is an open decision tracked below.</w:t>
      </w:r>
    </w:p>
    <w:p>
      <w:pPr>
        <w:pStyle w:val="Heading1"/>
        <w:spacing w:after="140" w:before="280"/>
      </w:pPr>
      <w:r>
        <w:t xml:space="preserve">Tier 1 — Compliance &amp; Infrastructure Foundation</w:t>
      </w:r>
    </w:p>
    <w:p>
      <w:pPr>
        <w:spacing w:after="120"/>
      </w:pPr>
      <w:r>
        <w:t xml:space="preserve">Not a set of use cases — a completion gate that must be substantially done before Tier 2 goes live.</w:t>
      </w:r>
    </w:p>
    <w:p>
      <w:pPr>
        <w:pStyle w:val="ListParagraph"/>
        <w:numPr>
          <w:ilvl w:val="0"/>
          <w:numId w:val="2"/>
        </w:numPr>
        <w:spacing w:after="80"/>
      </w:pPr>
      <w:r>
        <w:t xml:space="preserve">BAA execution with the clinic</w:t>
      </w:r>
    </w:p>
    <w:p>
      <w:pPr>
        <w:pStyle w:val="ListParagraph"/>
        <w:numPr>
          <w:ilvl w:val="0"/>
          <w:numId w:val="2"/>
        </w:numPr>
        <w:spacing w:after="80"/>
      </w:pPr>
      <w:r>
        <w:t xml:space="preserve">Subprocessor BAA chain (hosting, eligibility API, fax/records routing, SMS delivery)</w:t>
      </w:r>
    </w:p>
    <w:p>
      <w:pPr>
        <w:pStyle w:val="ListParagraph"/>
        <w:numPr>
          <w:ilvl w:val="0"/>
          <w:numId w:val="2"/>
        </w:numPr>
        <w:spacing w:after="80"/>
      </w:pPr>
      <w:r>
        <w:t xml:space="preserve">PHI/data boundary mapping</w:t>
      </w:r>
    </w:p>
    <w:p>
      <w:pPr>
        <w:pStyle w:val="ListParagraph"/>
        <w:numPr>
          <w:ilvl w:val="0"/>
          <w:numId w:val="2"/>
        </w:numPr>
        <w:spacing w:after="80"/>
      </w:pPr>
      <w:r>
        <w:t xml:space="preserve">Tenant isolation architecture</w:t>
      </w:r>
    </w:p>
    <w:p>
      <w:pPr>
        <w:pStyle w:val="ListParagraph"/>
        <w:numPr>
          <w:ilvl w:val="0"/>
          <w:numId w:val="2"/>
        </w:numPr>
        <w:spacing w:after="80"/>
      </w:pPr>
      <w:r>
        <w:t xml:space="preserve">Security baseline (encryption, access controls, audit logging)</w:t>
      </w:r>
    </w:p>
    <w:p>
      <w:pPr>
        <w:pStyle w:val="ListParagraph"/>
        <w:numPr>
          <w:ilvl w:val="0"/>
          <w:numId w:val="2"/>
        </w:numPr>
        <w:spacing w:after="80"/>
      </w:pPr>
      <w:r>
        <w:t xml:space="preserve">Compliance documentation (breach notification, minimum-necessary-use, retention/deletion)</w:t>
      </w:r>
    </w:p>
    <w:p>
      <w:pPr>
        <w:pStyle w:val="ListParagraph"/>
        <w:numPr>
          <w:ilvl w:val="0"/>
          <w:numId w:val="2"/>
        </w:numPr>
        <w:spacing w:after="80"/>
      </w:pPr>
      <w:r>
        <w:t xml:space="preserve">Integration provisioning — EMR, fax system, eligibility clearinghouse (read-first)</w:t>
      </w:r>
    </w:p>
    <w:p>
      <w:pPr>
        <w:pStyle w:val="Heading1"/>
        <w:spacing w:after="140" w:before="280"/>
      </w:pPr>
      <w:r>
        <w:t xml:space="preserve">Tier 2 — Locked v1 Scope</w:t>
      </w:r>
    </w:p>
    <w:p>
      <w:pPr>
        <w:spacing w:after="120"/>
      </w:pPr>
      <w:r>
        <w:t xml:space="preserve">Rules-based, non-AI, non-voice. This is HaloFlow's initial pilot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960"/>
        <w:gridCol w:w="1500"/>
      </w:tblGrid>
      <w:tr>
        <w:trPr>
          <w:tblHeader/>
        </w:trPr>
        <w:tc>
          <w:tcPr>
            <w:tcW w:type="dxa" w:w="1900"/>
            <w:shd w:fill="E8EDF2" w:color="auto" w:val="clear"/>
            <w:tcMar>
              <w:top w:type="dxa" w:w="80"/>
              <w:left w:type="dxa" w:w="120"/>
              <w:bottom w:type="dxa" w:w="80"/>
              <w:right w:type="dxa" w:w="120"/>
            </w:tcMar>
          </w:tcPr>
          <w:p>
            <w:pPr>
              <w:spacing w:after="0"/>
            </w:pPr>
            <w:r>
              <w:rPr>
                <w:b/>
                <w:bCs/>
                <w:sz w:val="20"/>
                <w:szCs w:val="20"/>
              </w:rPr>
              <w:t xml:space="preserve">Use Case</w:t>
            </w:r>
          </w:p>
        </w:tc>
        <w:tc>
          <w:tcPr>
            <w:tcW w:type="dxa" w:w="5960"/>
            <w:shd w:fill="E8EDF2" w:color="auto" w:val="clear"/>
            <w:tcMar>
              <w:top w:type="dxa" w:w="80"/>
              <w:left w:type="dxa" w:w="120"/>
              <w:bottom w:type="dxa" w:w="80"/>
              <w:right w:type="dxa" w:w="120"/>
            </w:tcMar>
          </w:tcPr>
          <w:p>
            <w:pPr>
              <w:spacing w:after="0"/>
            </w:pPr>
            <w:r>
              <w:rPr>
                <w:b/>
                <w:bCs/>
                <w:sz w:val="20"/>
                <w:szCs w:val="20"/>
              </w:rPr>
              <w:t xml:space="preserve">Scope / Details</w:t>
            </w:r>
          </w:p>
        </w:tc>
        <w:tc>
          <w:tcPr>
            <w:tcW w:type="dxa" w:w="1500"/>
            <w:shd w:fill="E8EDF2" w:color="auto" w:val="clear"/>
            <w:tcMar>
              <w:top w:type="dxa" w:w="80"/>
              <w:left w:type="dxa" w:w="120"/>
              <w:bottom w:type="dxa" w:w="80"/>
              <w:right w:type="dxa" w:w="120"/>
            </w:tcMar>
          </w:tcPr>
          <w:p>
            <w:pPr>
              <w:spacing w:after="0"/>
            </w:pPr>
            <w:r>
              <w:rPr>
                <w:b/>
                <w:bCs/>
                <w:sz w:val="20"/>
                <w:szCs w:val="20"/>
              </w:rPr>
              <w:t xml:space="preserve">Status</w:t>
            </w:r>
          </w:p>
        </w:tc>
      </w:tr>
      <w:tr>
        <w:tc>
          <w:tcPr>
            <w:tcW w:type="dxa" w:w="1900"/>
            <w:tcMar>
              <w:top w:type="dxa" w:w="80"/>
              <w:left w:type="dxa" w:w="120"/>
              <w:bottom w:type="dxa" w:w="80"/>
              <w:right w:type="dxa" w:w="120"/>
            </w:tcMar>
          </w:tcPr>
          <w:p>
            <w:pPr>
              <w:spacing w:after="0"/>
            </w:pPr>
            <w:r>
              <w:rPr>
                <w:b w:val="false"/>
                <w:bCs w:val="false"/>
                <w:sz w:val="20"/>
                <w:szCs w:val="20"/>
              </w:rPr>
              <w:t xml:space="preserve">Reminders / no-show reduction</w:t>
            </w:r>
          </w:p>
        </w:tc>
        <w:tc>
          <w:tcPr>
            <w:tcW w:type="dxa" w:w="5960"/>
            <w:tcMar>
              <w:top w:type="dxa" w:w="80"/>
              <w:left w:type="dxa" w:w="120"/>
              <w:bottom w:type="dxa" w:w="80"/>
              <w:right w:type="dxa" w:w="120"/>
            </w:tcMar>
          </w:tcPr>
          <w:p>
            <w:pPr>
              <w:spacing w:after="0"/>
            </w:pPr>
            <w:r>
              <w:rPr>
                <w:b w:val="false"/>
                <w:bCs w:val="false"/>
                <w:sz w:val="20"/>
                <w:szCs w:val="20"/>
              </w:rPr>
              <w:t xml:space="preserve">SMS-based. Confirmation request ~2 days pre-visit. Rebooking prompts on no-show. Confirmation status written back to the EMR (exact field TBD).</w:t>
            </w:r>
          </w:p>
        </w:tc>
        <w:tc>
          <w:tcPr>
            <w:tcW w:type="dxa" w:w="1500"/>
            <w:tcMar>
              <w:top w:type="dxa" w:w="80"/>
              <w:left w:type="dxa" w:w="120"/>
              <w:bottom w:type="dxa" w:w="80"/>
              <w:right w:type="dxa" w:w="120"/>
            </w:tcMar>
          </w:tcPr>
          <w:p>
            <w:pPr>
              <w:spacing w:after="0"/>
            </w:pPr>
            <w:r>
              <w:rPr>
                <w:b w:val="false"/>
                <w:bCs w:val="false"/>
                <w:sz w:val="20"/>
                <w:szCs w:val="20"/>
              </w:rPr>
              <w:t xml:space="preserve">Locked</w:t>
            </w:r>
          </w:p>
        </w:tc>
      </w:tr>
      <w:tr>
        <w:tc>
          <w:tcPr>
            <w:tcW w:type="dxa" w:w="1900"/>
            <w:tcMar>
              <w:top w:type="dxa" w:w="80"/>
              <w:left w:type="dxa" w:w="120"/>
              <w:bottom w:type="dxa" w:w="80"/>
              <w:right w:type="dxa" w:w="120"/>
            </w:tcMar>
          </w:tcPr>
          <w:p>
            <w:pPr>
              <w:spacing w:after="0"/>
            </w:pPr>
            <w:r>
              <w:rPr>
                <w:b w:val="false"/>
                <w:bCs w:val="false"/>
                <w:sz w:val="20"/>
                <w:szCs w:val="20"/>
              </w:rPr>
              <w:t xml:space="preserve">Insurance eligibility checks</w:t>
            </w:r>
          </w:p>
        </w:tc>
        <w:tc>
          <w:tcPr>
            <w:tcW w:type="dxa" w:w="5960"/>
            <w:tcMar>
              <w:top w:type="dxa" w:w="80"/>
              <w:left w:type="dxa" w:w="120"/>
              <w:bottom w:type="dxa" w:w="80"/>
              <w:right w:type="dxa" w:w="120"/>
            </w:tcMar>
          </w:tcPr>
          <w:p>
            <w:pPr>
              <w:spacing w:after="0"/>
            </w:pPr>
            <w:r>
              <w:rPr>
                <w:b w:val="false"/>
                <w:bCs w:val="false"/>
                <w:sz w:val="20"/>
                <w:szCs w:val="20"/>
              </w:rPr>
              <w:t xml:space="preserve">Automated for 3 priority payers: Anthem/HealthKeepers, UnitedHealthcare, Sentara Health Plans. Default 3–5 days pre-visit (configurable per tenant). Office notified on ineligible result. Other payers → manual verification flag; volume tracked to prioritize payer #4+.</w:t>
            </w:r>
          </w:p>
        </w:tc>
        <w:tc>
          <w:tcPr>
            <w:tcW w:type="dxa" w:w="1500"/>
            <w:tcMar>
              <w:top w:type="dxa" w:w="80"/>
              <w:left w:type="dxa" w:w="120"/>
              <w:bottom w:type="dxa" w:w="80"/>
              <w:right w:type="dxa" w:w="120"/>
            </w:tcMar>
          </w:tcPr>
          <w:p>
            <w:pPr>
              <w:spacing w:after="0"/>
            </w:pPr>
            <w:r>
              <w:rPr>
                <w:b w:val="false"/>
                <w:bCs w:val="false"/>
                <w:sz w:val="20"/>
                <w:szCs w:val="20"/>
              </w:rPr>
              <w:t xml:space="preserve">Locked</w:t>
            </w:r>
          </w:p>
        </w:tc>
      </w:tr>
      <w:tr>
        <w:tc>
          <w:tcPr>
            <w:tcW w:type="dxa" w:w="1900"/>
            <w:tcMar>
              <w:top w:type="dxa" w:w="80"/>
              <w:left w:type="dxa" w:w="120"/>
              <w:bottom w:type="dxa" w:w="80"/>
              <w:right w:type="dxa" w:w="120"/>
            </w:tcMar>
          </w:tcPr>
          <w:p>
            <w:pPr>
              <w:spacing w:after="0"/>
            </w:pPr>
            <w:r>
              <w:rPr>
                <w:b w:val="false"/>
                <w:bCs w:val="false"/>
                <w:sz w:val="20"/>
                <w:szCs w:val="20"/>
              </w:rPr>
              <w:t xml:space="preserve">Fax/records routing — inbound</w:t>
            </w:r>
          </w:p>
        </w:tc>
        <w:tc>
          <w:tcPr>
            <w:tcW w:type="dxa" w:w="5960"/>
            <w:tcMar>
              <w:top w:type="dxa" w:w="80"/>
              <w:left w:type="dxa" w:w="120"/>
              <w:bottom w:type="dxa" w:w="80"/>
              <w:right w:type="dxa" w:w="120"/>
            </w:tcMar>
          </w:tcPr>
          <w:p>
            <w:pPr>
              <w:spacing w:after="0"/>
            </w:pPr>
            <w:r>
              <w:rPr>
                <w:b w:val="false"/>
                <w:bCs w:val="false"/>
                <w:sz w:val="20"/>
                <w:szCs w:val="20"/>
              </w:rPr>
              <w:t xml:space="preserve">Sort by sender number and/or dedicated receiving line; route to correct queue. No OCR required for v1.</w:t>
            </w:r>
          </w:p>
        </w:tc>
        <w:tc>
          <w:tcPr>
            <w:tcW w:type="dxa" w:w="1500"/>
            <w:tcMar>
              <w:top w:type="dxa" w:w="80"/>
              <w:left w:type="dxa" w:w="120"/>
              <w:bottom w:type="dxa" w:w="80"/>
              <w:right w:type="dxa" w:w="120"/>
            </w:tcMar>
          </w:tcPr>
          <w:p>
            <w:pPr>
              <w:spacing w:after="0"/>
            </w:pPr>
            <w:r>
              <w:rPr>
                <w:b w:val="false"/>
                <w:bCs w:val="false"/>
                <w:sz w:val="20"/>
                <w:szCs w:val="20"/>
              </w:rPr>
              <w:t xml:space="preserve">Locked</w:t>
            </w:r>
          </w:p>
        </w:tc>
      </w:tr>
      <w:tr>
        <w:tc>
          <w:tcPr>
            <w:tcW w:type="dxa" w:w="1900"/>
            <w:tcMar>
              <w:top w:type="dxa" w:w="80"/>
              <w:left w:type="dxa" w:w="120"/>
              <w:bottom w:type="dxa" w:w="80"/>
              <w:right w:type="dxa" w:w="120"/>
            </w:tcMar>
          </w:tcPr>
          <w:p>
            <w:pPr>
              <w:spacing w:after="0"/>
            </w:pPr>
            <w:r>
              <w:rPr>
                <w:b w:val="false"/>
                <w:bCs w:val="false"/>
                <w:sz w:val="20"/>
                <w:szCs w:val="20"/>
              </w:rPr>
              <w:t xml:space="preserve">Fax/records routing — outbound</w:t>
            </w:r>
          </w:p>
        </w:tc>
        <w:tc>
          <w:tcPr>
            <w:tcW w:type="dxa" w:w="5960"/>
            <w:tcMar>
              <w:top w:type="dxa" w:w="80"/>
              <w:left w:type="dxa" w:w="120"/>
              <w:bottom w:type="dxa" w:w="80"/>
              <w:right w:type="dxa" w:w="120"/>
            </w:tcMar>
          </w:tcPr>
          <w:p>
            <w:pPr>
              <w:spacing w:after="0"/>
            </w:pPr>
            <w:r>
              <w:rPr>
                <w:b w:val="false"/>
                <w:bCs w:val="false"/>
                <w:sz w:val="20"/>
                <w:szCs w:val="20"/>
              </w:rPr>
              <w:t xml:space="preserve">Auto-populate cover sheet from EMR data, send via fax API, log delivery confirmation back to chart. Record selection stays manual (staff judgment).</w:t>
            </w:r>
          </w:p>
        </w:tc>
        <w:tc>
          <w:tcPr>
            <w:tcW w:type="dxa" w:w="1500"/>
            <w:tcMar>
              <w:top w:type="dxa" w:w="80"/>
              <w:left w:type="dxa" w:w="120"/>
              <w:bottom w:type="dxa" w:w="80"/>
              <w:right w:type="dxa" w:w="120"/>
            </w:tcMar>
          </w:tcPr>
          <w:p>
            <w:pPr>
              <w:spacing w:after="0"/>
            </w:pPr>
            <w:r>
              <w:rPr>
                <w:b w:val="false"/>
                <w:bCs w:val="false"/>
                <w:sz w:val="20"/>
                <w:szCs w:val="20"/>
              </w:rPr>
              <w:t xml:space="preserve">Locked</w:t>
            </w:r>
          </w:p>
        </w:tc>
      </w:tr>
      <w:tr>
        <w:tc>
          <w:tcPr>
            <w:tcW w:type="dxa" w:w="1900"/>
            <w:tcMar>
              <w:top w:type="dxa" w:w="80"/>
              <w:left w:type="dxa" w:w="120"/>
              <w:bottom w:type="dxa" w:w="80"/>
              <w:right w:type="dxa" w:w="120"/>
            </w:tcMar>
          </w:tcPr>
          <w:p>
            <w:pPr>
              <w:spacing w:after="0"/>
            </w:pPr>
            <w:r>
              <w:rPr>
                <w:b w:val="false"/>
                <w:bCs w:val="false"/>
                <w:sz w:val="20"/>
                <w:szCs w:val="20"/>
              </w:rPr>
              <w:t xml:space="preserve">Preventive care / care-gap outreach</w:t>
            </w:r>
          </w:p>
        </w:tc>
        <w:tc>
          <w:tcPr>
            <w:tcW w:type="dxa" w:w="5960"/>
            <w:tcMar>
              <w:top w:type="dxa" w:w="80"/>
              <w:left w:type="dxa" w:w="120"/>
              <w:bottom w:type="dxa" w:w="80"/>
              <w:right w:type="dxa" w:w="120"/>
            </w:tcMar>
          </w:tcPr>
          <w:p>
            <w:pPr>
              <w:spacing w:after="0"/>
            </w:pPr>
            <w:r>
              <w:rPr>
                <w:b w:val="false"/>
                <w:bCs w:val="false"/>
                <w:sz w:val="20"/>
                <w:szCs w:val="20"/>
              </w:rPr>
              <w:t xml:space="preserve">Replaces the earlier "seasonal campaign lists" item (dropped — low-value at this clinic; opt-in flu list is small and built at checkout). Dual mode, both required since workflow differs payer to payer: (a) due-date tracking from the EMR on simple annual/fixed intervals (rules-based — distinct from diagnosis/interval recall, which stays Tier 3); (b) outreach against uploaded payer care-gap lists (staff upload the payer file; system runs SMS outreach against it). Example measures: Medicare AWV, post-discharge/TCM follow-up, breast &amp; colorectal cancer screening, diabetes A1c &amp; eye exam, blood-pressure follow-up.</w:t>
            </w:r>
          </w:p>
        </w:tc>
        <w:tc>
          <w:tcPr>
            <w:tcW w:type="dxa" w:w="1500"/>
            <w:tcMar>
              <w:top w:type="dxa" w:w="80"/>
              <w:left w:type="dxa" w:w="120"/>
              <w:bottom w:type="dxa" w:w="80"/>
              <w:right w:type="dxa" w:w="120"/>
            </w:tcMar>
          </w:tcPr>
          <w:p>
            <w:pPr>
              <w:spacing w:after="0"/>
            </w:pPr>
            <w:r>
              <w:rPr>
                <w:b w:val="false"/>
                <w:bCs w:val="false"/>
                <w:sz w:val="20"/>
                <w:szCs w:val="20"/>
              </w:rPr>
              <w:t xml:space="preserve">Locked</w:t>
            </w:r>
          </w:p>
        </w:tc>
      </w:tr>
    </w:tbl>
    <w:p>
      <w:pPr>
        <w:pStyle w:val="Heading2"/>
        <w:spacing w:after="140" w:before="280"/>
      </w:pPr>
      <w:r>
        <w:t xml:space="preserve">Open items before Tier 1 boundary mapping is final</w:t>
      </w:r>
    </w:p>
    <w:p>
      <w:pPr>
        <w:pStyle w:val="ListParagraph"/>
        <w:numPr>
          <w:ilvl w:val="0"/>
          <w:numId w:val="2"/>
        </w:numPr>
        <w:spacing w:after="80"/>
      </w:pPr>
      <w:r>
        <w:t xml:space="preserve">Select the target EMR(s) for v1 integration. Evaluate on: availability and cost of partner/API access, whether write-back is supported, whether each customer site requires its own approval, realistic onboarding time, and prevalence among independently owned clinics. This decision drives both integration effort and which clinics are viable early customers. (New in v4 — open decision.)</w:t>
      </w:r>
    </w:p>
    <w:p>
      <w:pPr>
        <w:pStyle w:val="ListParagraph"/>
        <w:numPr>
          <w:ilvl w:val="0"/>
          <w:numId w:val="2"/>
        </w:numPr>
        <w:spacing w:after="80"/>
      </w:pPr>
      <w:r>
        <w:t xml:space="preserve">Confirm how the EMR captures appointment confirmation (structured field vs. free-text note) — pending answer from clinic staff</w:t>
      </w:r>
    </w:p>
    <w:p>
      <w:pPr>
        <w:pStyle w:val="ListParagraph"/>
        <w:numPr>
          <w:ilvl w:val="0"/>
          <w:numId w:val="2"/>
        </w:numPr>
        <w:spacing w:after="80"/>
      </w:pPr>
      <w:r>
        <w:t xml:space="preserve">Confirm the 3 priority payers match actual clinic payer mix, and check clearinghouse trading-partner connectivity for each</w:t>
      </w:r>
    </w:p>
    <w:p>
      <w:pPr>
        <w:pStyle w:val="ListParagraph"/>
        <w:numPr>
          <w:ilvl w:val="0"/>
          <w:numId w:val="2"/>
        </w:numPr>
        <w:spacing w:after="80"/>
      </w:pPr>
      <w:r>
        <w:t xml:space="preserve">Confirm clinic fax line is already digital (efax/cloud fax) vs. physical machine — hard prerequisite for automation</w:t>
      </w:r>
    </w:p>
    <w:p>
      <w:pPr>
        <w:pStyle w:val="ListParagraph"/>
        <w:numPr>
          <w:ilvl w:val="0"/>
          <w:numId w:val="2"/>
        </w:numPr>
        <w:spacing w:after="80"/>
      </w:pPr>
      <w:r>
        <w:t xml:space="preserve">Confirm which preventive/care-gap measures have due dates recoverable from the EMR vs. payer-list-only, and in what format each priority payer delivers care-gap lists</w:t>
      </w:r>
    </w:p>
    <w:p>
      <w:pPr>
        <w:pStyle w:val="ListParagraph"/>
        <w:numPr>
          <w:ilvl w:val="0"/>
          <w:numId w:val="2"/>
        </w:numPr>
        <w:spacing w:after="80"/>
      </w:pPr>
      <w:r>
        <w:t xml:space="preserve">Gather rough monthly volumes (SMS sends, fax pages in/out, eligibility checks) to replace the $XXX infrastructure-cost placeholder with a real estimate before the pitch</w:t>
      </w:r>
    </w:p>
    <w:p>
      <w:pPr>
        <w:pStyle w:val="Heading1"/>
        <w:spacing w:after="140" w:before="280"/>
      </w:pPr>
      <w:r>
        <w:t xml:space="preserve">Tier 3 — Voice Agent Assistant + LLM-Assisted (Low-Complexity)</w:t>
      </w:r>
    </w:p>
    <w:p>
      <w:pPr>
        <w:spacing w:after="120"/>
      </w:pPr>
      <w:r>
        <w:t xml:space="preserve">Introduced after Tier 2 proves the compliance/architecture pattern. Voice pulled forward from Tier 4: proven Track A (vet) voice experience makes implementation straightforward, and voice closes the end-to-end workflow. Voice via Retell AI (self-serve BAA, pay-as-you-go) — Retell BAA now enters at Tier 3 adoption. LLM usage via AWS Bedrock or Google Vertex AI only. One language engine, two channels (voice call and SMS/text); one shared approval workflow: capture → pending → staff/provider approval → action + patient notification. Discipline unchanged: collection, lookup, and drafting only — never diagnosis or triage.</w:t>
      </w:r>
    </w:p>
    <w:p>
      <w:pPr>
        <w:pStyle w:val="Heading2"/>
        <w:spacing w:after="140" w:before="280"/>
      </w:pPr>
      <w:r>
        <w:t xml:space="preserve">1. Patient request intake — voice and text (LLM-powered, inbound)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DF2" w:color="auto" w:val="clear"/>
            <w:tcMar>
              <w:top w:type="dxa" w:w="80"/>
              <w:left w:type="dxa" w:w="120"/>
              <w:bottom w:type="dxa" w:w="80"/>
              <w:right w:type="dxa" w:w="120"/>
            </w:tcMar>
          </w:tcPr>
          <w:p>
            <w:pPr>
              <w:spacing w:after="0"/>
            </w:pPr>
            <w:r>
              <w:rPr>
                <w:b/>
                <w:bCs/>
                <w:sz w:val="20"/>
                <w:szCs w:val="20"/>
              </w:rPr>
              <w:t xml:space="preserve">Use Case</w:t>
            </w:r>
          </w:p>
        </w:tc>
        <w:tc>
          <w:tcPr>
            <w:tcW w:type="dxa" w:w="6760"/>
            <w:shd w:fill="E8EDF2" w:color="auto" w:val="clear"/>
            <w:tcMar>
              <w:top w:type="dxa" w:w="80"/>
              <w:left w:type="dxa" w:w="120"/>
              <w:bottom w:type="dxa" w:w="80"/>
              <w:right w:type="dxa" w:w="120"/>
            </w:tcMar>
          </w:tcPr>
          <w:p>
            <w:pPr>
              <w:spacing w:after="0"/>
            </w:pPr>
            <w:r>
              <w:rPr>
                <w:b/>
                <w:bCs/>
                <w:sz w:val="20"/>
                <w:szCs w:val="20"/>
              </w:rPr>
              <w:t xml:space="preserve">Scope / Notes</w:t>
            </w:r>
          </w:p>
        </w:tc>
      </w:tr>
      <w:tr>
        <w:tc>
          <w:tcPr>
            <w:tcW w:type="dxa" w:w="2600"/>
            <w:tcMar>
              <w:top w:type="dxa" w:w="80"/>
              <w:left w:type="dxa" w:w="120"/>
              <w:bottom w:type="dxa" w:w="80"/>
              <w:right w:type="dxa" w:w="120"/>
            </w:tcMar>
          </w:tcPr>
          <w:p>
            <w:pPr>
              <w:spacing w:after="0"/>
            </w:pPr>
            <w:r>
              <w:rPr>
                <w:b w:val="false"/>
                <w:bCs w:val="false"/>
                <w:sz w:val="20"/>
                <w:szCs w:val="20"/>
              </w:rPr>
              <w:t xml:space="preserve">Appointment request intake</w:t>
            </w:r>
          </w:p>
        </w:tc>
        <w:tc>
          <w:tcPr>
            <w:tcW w:type="dxa" w:w="6760"/>
            <w:tcMar>
              <w:top w:type="dxa" w:w="80"/>
              <w:left w:type="dxa" w:w="120"/>
              <w:bottom w:type="dxa" w:w="80"/>
              <w:right w:type="dxa" w:w="120"/>
            </w:tcMar>
          </w:tcPr>
          <w:p>
            <w:pPr>
              <w:spacing w:after="0"/>
            </w:pPr>
            <w:r>
              <w:rPr>
                <w:b w:val="false"/>
                <w:bCs w:val="false"/>
                <w:sz w:val="20"/>
                <w:szCs w:val="20"/>
              </w:rPr>
              <w:t xml:space="preserve">Collects details (DOB, new/existing, preferred provider/dates) and adds the request to the calendar with pending status. Approval-gated booking: after doctor/staff approval, the slot is confirmed and a confirmation SMS goes to the patient automatically. Never books autonomously.</w:t>
            </w:r>
          </w:p>
        </w:tc>
      </w:tr>
      <w:tr>
        <w:tc>
          <w:tcPr>
            <w:tcW w:type="dxa" w:w="2600"/>
            <w:tcMar>
              <w:top w:type="dxa" w:w="80"/>
              <w:left w:type="dxa" w:w="120"/>
              <w:bottom w:type="dxa" w:w="80"/>
              <w:right w:type="dxa" w:w="120"/>
            </w:tcMar>
          </w:tcPr>
          <w:p>
            <w:pPr>
              <w:spacing w:after="0"/>
            </w:pPr>
            <w:r>
              <w:rPr>
                <w:b w:val="false"/>
                <w:bCs w:val="false"/>
                <w:sz w:val="20"/>
                <w:szCs w:val="20"/>
              </w:rPr>
              <w:t xml:space="preserve">Refill request intake</w:t>
            </w:r>
          </w:p>
        </w:tc>
        <w:tc>
          <w:tcPr>
            <w:tcW w:type="dxa" w:w="6760"/>
            <w:tcMar>
              <w:top w:type="dxa" w:w="80"/>
              <w:left w:type="dxa" w:w="120"/>
              <w:bottom w:type="dxa" w:w="80"/>
              <w:right w:type="dxa" w:w="120"/>
            </w:tcMar>
          </w:tcPr>
          <w:p>
            <w:pPr>
              <w:spacing w:after="0"/>
            </w:pPr>
            <w:r>
              <w:rPr>
                <w:b w:val="false"/>
                <w:bCs w:val="false"/>
                <w:sz w:val="20"/>
                <w:szCs w:val="20"/>
              </w:rPr>
              <w:t xml:space="preserve">Same approval-gated pattern: collects drug, DOB, and preferred pharmacy, then places a pending refill request routed to the doctor/provider for approval. Only after approval is the refill processed and the patient notified. Never approves or fills autonomously.</w:t>
            </w:r>
          </w:p>
        </w:tc>
      </w:tr>
      <w:tr>
        <w:tc>
          <w:tcPr>
            <w:tcW w:type="dxa" w:w="2600"/>
            <w:tcMar>
              <w:top w:type="dxa" w:w="80"/>
              <w:left w:type="dxa" w:w="120"/>
              <w:bottom w:type="dxa" w:w="80"/>
              <w:right w:type="dxa" w:w="120"/>
            </w:tcMar>
          </w:tcPr>
          <w:p>
            <w:pPr>
              <w:spacing w:after="0"/>
            </w:pPr>
            <w:r>
              <w:rPr>
                <w:b w:val="false"/>
                <w:bCs w:val="false"/>
                <w:sz w:val="20"/>
                <w:szCs w:val="20"/>
              </w:rPr>
              <w:t xml:space="preserve">Routine questions (office &amp; billing FAQ)</w:t>
            </w:r>
          </w:p>
        </w:tc>
        <w:tc>
          <w:tcPr>
            <w:tcW w:type="dxa" w:w="6760"/>
            <w:tcMar>
              <w:top w:type="dxa" w:w="80"/>
              <w:left w:type="dxa" w:w="120"/>
              <w:bottom w:type="dxa" w:w="80"/>
              <w:right w:type="dxa" w:w="120"/>
            </w:tcMar>
          </w:tcPr>
          <w:p>
            <w:pPr>
              <w:spacing w:after="0"/>
            </w:pPr>
            <w:r>
              <w:rPr>
                <w:b w:val="false"/>
                <w:bCs w:val="false"/>
                <w:sz w:val="20"/>
                <w:szCs w:val="20"/>
              </w:rPr>
              <w:t xml:space="preserve">Hours, directions, fax, insurance accepted, balance, payment link, portal/forms — voice and text channels.</w:t>
            </w:r>
          </w:p>
        </w:tc>
      </w:tr>
      <w:tr>
        <w:tc>
          <w:tcPr>
            <w:tcW w:type="dxa" w:w="2600"/>
            <w:tcMar>
              <w:top w:type="dxa" w:w="80"/>
              <w:left w:type="dxa" w:w="120"/>
              <w:bottom w:type="dxa" w:w="80"/>
              <w:right w:type="dxa" w:w="120"/>
            </w:tcMar>
          </w:tcPr>
          <w:p>
            <w:pPr>
              <w:spacing w:after="0"/>
            </w:pPr>
            <w:r>
              <w:rPr>
                <w:b w:val="false"/>
                <w:bCs w:val="false"/>
                <w:sz w:val="20"/>
                <w:szCs w:val="20"/>
              </w:rPr>
              <w:t xml:space="preserve">Referral status lookup</w:t>
            </w:r>
          </w:p>
        </w:tc>
        <w:tc>
          <w:tcPr>
            <w:tcW w:type="dxa" w:w="6760"/>
            <w:tcMar>
              <w:top w:type="dxa" w:w="80"/>
              <w:left w:type="dxa" w:w="120"/>
              <w:bottom w:type="dxa" w:w="80"/>
              <w:right w:type="dxa" w:w="120"/>
            </w:tcMar>
          </w:tcPr>
          <w:p>
            <w:pPr>
              <w:spacing w:after="0"/>
            </w:pPr>
            <w:r>
              <w:rPr>
                <w:b w:val="false"/>
                <w:bCs w:val="false"/>
                <w:sz w:val="20"/>
                <w:szCs w:val="20"/>
              </w:rPr>
              <w:t xml:space="preserve">Status only (pending/approved/needs-authorization) — no clinical interpretation.</w:t>
            </w:r>
          </w:p>
        </w:tc>
      </w:tr>
    </w:tbl>
    <w:p>
      <w:pPr>
        <w:pStyle w:val="Heading2"/>
        <w:spacing w:after="140" w:before="280"/>
      </w:pPr>
      <w:r>
        <w:t xml:space="preserve">2. Event-driven outreach — conversational (SMS or call, outbound)</w:t>
      </w:r>
    </w:p>
    <w:p>
      <w:pPr>
        <w:spacing w:after="120"/>
      </w:pPr>
      <w:r>
        <w:t xml:space="preserve">Outbound messages are templated; the LLM's job is parsing free-form patient replies into structured pending items. Any resulting schedule change follows the same approval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DF2" w:color="auto" w:val="clear"/>
            <w:tcMar>
              <w:top w:type="dxa" w:w="80"/>
              <w:left w:type="dxa" w:w="120"/>
              <w:bottom w:type="dxa" w:w="80"/>
              <w:right w:type="dxa" w:w="120"/>
            </w:tcMar>
          </w:tcPr>
          <w:p>
            <w:pPr>
              <w:spacing w:after="0"/>
            </w:pPr>
            <w:r>
              <w:rPr>
                <w:b/>
                <w:bCs/>
                <w:sz w:val="20"/>
                <w:szCs w:val="20"/>
              </w:rPr>
              <w:t xml:space="preserve">Use Case</w:t>
            </w:r>
          </w:p>
        </w:tc>
        <w:tc>
          <w:tcPr>
            <w:tcW w:type="dxa" w:w="6760"/>
            <w:shd w:fill="E8EDF2" w:color="auto" w:val="clear"/>
            <w:tcMar>
              <w:top w:type="dxa" w:w="80"/>
              <w:left w:type="dxa" w:w="120"/>
              <w:bottom w:type="dxa" w:w="80"/>
              <w:right w:type="dxa" w:w="120"/>
            </w:tcMar>
          </w:tcPr>
          <w:p>
            <w:pPr>
              <w:spacing w:after="0"/>
            </w:pPr>
            <w:r>
              <w:rPr>
                <w:b/>
                <w:bCs/>
                <w:sz w:val="20"/>
                <w:szCs w:val="20"/>
              </w:rPr>
              <w:t xml:space="preserve">Trigger → Scope / Notes</w:t>
            </w:r>
          </w:p>
        </w:tc>
      </w:tr>
      <w:tr>
        <w:tc>
          <w:tcPr>
            <w:tcW w:type="dxa" w:w="2600"/>
            <w:tcMar>
              <w:top w:type="dxa" w:w="80"/>
              <w:left w:type="dxa" w:w="120"/>
              <w:bottom w:type="dxa" w:w="80"/>
              <w:right w:type="dxa" w:w="120"/>
            </w:tcMar>
          </w:tcPr>
          <w:p>
            <w:pPr>
              <w:spacing w:after="0"/>
            </w:pPr>
            <w:r>
              <w:rPr>
                <w:b w:val="false"/>
                <w:bCs w:val="false"/>
                <w:sz w:val="20"/>
                <w:szCs w:val="20"/>
              </w:rPr>
              <w:t xml:space="preserve">Appointment rescheduling</w:t>
            </w:r>
          </w:p>
        </w:tc>
        <w:tc>
          <w:tcPr>
            <w:tcW w:type="dxa" w:w="6760"/>
            <w:tcMar>
              <w:top w:type="dxa" w:w="80"/>
              <w:left w:type="dxa" w:w="120"/>
              <w:bottom w:type="dxa" w:w="80"/>
              <w:right w:type="dxa" w:w="120"/>
            </w:tcMar>
          </w:tcPr>
          <w:p>
            <w:pPr>
              <w:spacing w:after="0"/>
            </w:pPr>
            <w:r>
              <w:rPr>
                <w:b w:val="false"/>
                <w:bCs w:val="false"/>
                <w:sz w:val="20"/>
                <w:szCs w:val="20"/>
              </w:rPr>
              <w:t xml:space="preserve">Trigger: no-show or cancellation → rebooking outreach. Patient's reply is parsed into a pending calendar change, confirmed only after staff/provider approval, then the patient is notified. Never auto-books.</w:t>
            </w:r>
          </w:p>
        </w:tc>
      </w:tr>
      <w:tr>
        <w:tc>
          <w:tcPr>
            <w:tcW w:type="dxa" w:w="2600"/>
            <w:tcMar>
              <w:top w:type="dxa" w:w="80"/>
              <w:left w:type="dxa" w:w="120"/>
              <w:bottom w:type="dxa" w:w="80"/>
              <w:right w:type="dxa" w:w="120"/>
            </w:tcMar>
          </w:tcPr>
          <w:p>
            <w:pPr>
              <w:spacing w:after="0"/>
            </w:pPr>
            <w:r>
              <w:rPr>
                <w:b w:val="false"/>
                <w:bCs w:val="false"/>
                <w:sz w:val="20"/>
                <w:szCs w:val="20"/>
              </w:rPr>
              <w:t xml:space="preserve">Follow-up visit scheduling</w:t>
            </w:r>
          </w:p>
        </w:tc>
        <w:tc>
          <w:tcPr>
            <w:tcW w:type="dxa" w:w="6760"/>
            <w:tcMar>
              <w:top w:type="dxa" w:w="80"/>
              <w:left w:type="dxa" w:w="120"/>
              <w:bottom w:type="dxa" w:w="80"/>
              <w:right w:type="dxa" w:w="120"/>
            </w:tcMar>
          </w:tcPr>
          <w:p>
            <w:pPr>
              <w:spacing w:after="0"/>
            </w:pPr>
            <w:r>
              <w:rPr>
                <w:b w:val="false"/>
                <w:bCs w:val="false"/>
                <w:sz w:val="20"/>
                <w:szCs w:val="20"/>
              </w:rPr>
              <w:t xml:space="preserve">Trigger: provider instruction or discharge → outreach to schedule the follow-up. Same pending → approval → confirmation pattern.</w:t>
            </w:r>
          </w:p>
        </w:tc>
      </w:tr>
      <w:tr>
        <w:tc>
          <w:tcPr>
            <w:tcW w:type="dxa" w:w="2600"/>
            <w:tcMar>
              <w:top w:type="dxa" w:w="80"/>
              <w:left w:type="dxa" w:w="120"/>
              <w:bottom w:type="dxa" w:w="80"/>
              <w:right w:type="dxa" w:w="120"/>
            </w:tcMar>
          </w:tcPr>
          <w:p>
            <w:pPr>
              <w:spacing w:after="0"/>
            </w:pPr>
            <w:r>
              <w:rPr>
                <w:b w:val="false"/>
                <w:bCs w:val="false"/>
                <w:sz w:val="20"/>
                <w:szCs w:val="20"/>
              </w:rPr>
              <w:t xml:space="preserve">Lab-order completion outreach</w:t>
            </w:r>
          </w:p>
        </w:tc>
        <w:tc>
          <w:tcPr>
            <w:tcW w:type="dxa" w:w="6760"/>
            <w:tcMar>
              <w:top w:type="dxa" w:w="80"/>
              <w:left w:type="dxa" w:w="120"/>
              <w:bottom w:type="dxa" w:w="80"/>
              <w:right w:type="dxa" w:w="120"/>
            </w:tcMar>
          </w:tcPr>
          <w:p>
            <w:pPr>
              <w:spacing w:after="0"/>
            </w:pPr>
            <w:r>
              <w:rPr>
                <w:b w:val="false"/>
                <w:bCs w:val="false"/>
                <w:sz w:val="20"/>
                <w:szCs w:val="20"/>
              </w:rPr>
              <w:t xml:space="preserve">Trigger: doctor places a lab order in the EMR → patient outreach with instructions (location, fasting, timing) and reminders until completed; staff flagged if the visit date approaches with labs still incomplete. The system never creates, modifies, or cancels a lab order — it only communicates about orders the doctor placed.</w:t>
            </w:r>
          </w:p>
        </w:tc>
      </w:tr>
      <w:tr>
        <w:tc>
          <w:tcPr>
            <w:tcW w:type="dxa" w:w="2600"/>
            <w:tcMar>
              <w:top w:type="dxa" w:w="80"/>
              <w:left w:type="dxa" w:w="120"/>
              <w:bottom w:type="dxa" w:w="80"/>
              <w:right w:type="dxa" w:w="120"/>
            </w:tcMar>
          </w:tcPr>
          <w:p>
            <w:pPr>
              <w:spacing w:after="0"/>
            </w:pPr>
            <w:r>
              <w:rPr>
                <w:b w:val="false"/>
                <w:bCs w:val="false"/>
                <w:sz w:val="20"/>
                <w:szCs w:val="20"/>
              </w:rPr>
              <w:t xml:space="preserve">Recall (interval/diagnosis-based reminders)</w:t>
            </w:r>
          </w:p>
        </w:tc>
        <w:tc>
          <w:tcPr>
            <w:tcW w:type="dxa" w:w="6760"/>
            <w:tcMar>
              <w:top w:type="dxa" w:w="80"/>
              <w:left w:type="dxa" w:w="120"/>
              <w:bottom w:type="dxa" w:w="80"/>
              <w:right w:type="dxa" w:w="120"/>
            </w:tcMar>
          </w:tcPr>
          <w:p>
            <w:pPr>
              <w:spacing w:after="0"/>
            </w:pPr>
            <w:r>
              <w:rPr>
                <w:b w:val="false"/>
                <w:bCs w:val="false"/>
                <w:sz w:val="20"/>
                <w:szCs w:val="20"/>
              </w:rPr>
              <w:t xml:space="preserve">Trigger: interval due date. Deferred from Tier 2 — too complex for rules-based mandate; revisit once EMR interval data access is confirmed.</w:t>
            </w:r>
          </w:p>
        </w:tc>
      </w:tr>
    </w:tbl>
    <w:p>
      <w:pPr>
        <w:pStyle w:val="Heading2"/>
        <w:spacing w:after="140" w:before="280"/>
      </w:pPr>
      <w:r>
        <w:t xml:space="preserve">3. Back-office LLM assistance (low-complexity)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DF2" w:color="auto" w:val="clear"/>
            <w:tcMar>
              <w:top w:type="dxa" w:w="80"/>
              <w:left w:type="dxa" w:w="120"/>
              <w:bottom w:type="dxa" w:w="80"/>
              <w:right w:type="dxa" w:w="120"/>
            </w:tcMar>
          </w:tcPr>
          <w:p>
            <w:pPr>
              <w:spacing w:after="0"/>
            </w:pPr>
            <w:r>
              <w:rPr>
                <w:b/>
                <w:bCs/>
                <w:sz w:val="20"/>
                <w:szCs w:val="20"/>
              </w:rPr>
              <w:t xml:space="preserve">Use Case</w:t>
            </w:r>
          </w:p>
        </w:tc>
        <w:tc>
          <w:tcPr>
            <w:tcW w:type="dxa" w:w="6760"/>
            <w:shd w:fill="E8EDF2" w:color="auto" w:val="clear"/>
            <w:tcMar>
              <w:top w:type="dxa" w:w="80"/>
              <w:left w:type="dxa" w:w="120"/>
              <w:bottom w:type="dxa" w:w="80"/>
              <w:right w:type="dxa" w:w="120"/>
            </w:tcMar>
          </w:tcPr>
          <w:p>
            <w:pPr>
              <w:spacing w:after="0"/>
            </w:pPr>
            <w:r>
              <w:rPr>
                <w:b/>
                <w:bCs/>
                <w:sz w:val="20"/>
                <w:szCs w:val="20"/>
              </w:rPr>
              <w:t xml:space="preserve">Scope / Notes</w:t>
            </w:r>
          </w:p>
        </w:tc>
      </w:tr>
      <w:tr>
        <w:tc>
          <w:tcPr>
            <w:tcW w:type="dxa" w:w="2600"/>
            <w:tcMar>
              <w:top w:type="dxa" w:w="80"/>
              <w:left w:type="dxa" w:w="120"/>
              <w:bottom w:type="dxa" w:w="80"/>
              <w:right w:type="dxa" w:w="120"/>
            </w:tcMar>
          </w:tcPr>
          <w:p>
            <w:pPr>
              <w:spacing w:after="0"/>
            </w:pPr>
            <w:r>
              <w:rPr>
                <w:b w:val="false"/>
                <w:bCs w:val="false"/>
                <w:sz w:val="20"/>
                <w:szCs w:val="20"/>
              </w:rPr>
              <w:t xml:space="preserve">Drafted paperwork (fax cover letters, referral letters)</w:t>
            </w:r>
          </w:p>
        </w:tc>
        <w:tc>
          <w:tcPr>
            <w:tcW w:type="dxa" w:w="6760"/>
            <w:tcMar>
              <w:top w:type="dxa" w:w="80"/>
              <w:left w:type="dxa" w:w="120"/>
              <w:bottom w:type="dxa" w:w="80"/>
              <w:right w:type="dxa" w:w="120"/>
            </w:tcMar>
          </w:tcPr>
          <w:p>
            <w:pPr>
              <w:spacing w:after="0"/>
            </w:pPr>
            <w:r>
              <w:rPr>
                <w:b w:val="false"/>
                <w:bCs w:val="false"/>
                <w:sz w:val="20"/>
                <w:szCs w:val="20"/>
              </w:rPr>
              <w:t xml:space="preserve">Templated, staff-facing drafts — human review required before anything is sent. (Clinical summaries and message triage stay in Tier 4 as high-complexity.)</w:t>
            </w:r>
          </w:p>
        </w:tc>
      </w:tr>
      <w:tr>
        <w:tc>
          <w:tcPr>
            <w:tcW w:type="dxa" w:w="2600"/>
            <w:tcMar>
              <w:top w:type="dxa" w:w="80"/>
              <w:left w:type="dxa" w:w="120"/>
              <w:bottom w:type="dxa" w:w="80"/>
              <w:right w:type="dxa" w:w="120"/>
            </w:tcMar>
          </w:tcPr>
          <w:p>
            <w:pPr>
              <w:spacing w:after="0"/>
            </w:pPr>
            <w:r>
              <w:rPr>
                <w:b w:val="false"/>
                <w:bCs w:val="false"/>
                <w:sz w:val="20"/>
                <w:szCs w:val="20"/>
              </w:rPr>
              <w:t xml:space="preserve">Fax content completeness review (OCR)</w:t>
            </w:r>
          </w:p>
        </w:tc>
        <w:tc>
          <w:tcPr>
            <w:tcW w:type="dxa" w:w="6760"/>
            <w:tcMar>
              <w:top w:type="dxa" w:w="80"/>
              <w:left w:type="dxa" w:w="120"/>
              <w:bottom w:type="dxa" w:w="80"/>
              <w:right w:type="dxa" w:w="120"/>
            </w:tcMar>
          </w:tcPr>
          <w:p>
            <w:pPr>
              <w:spacing w:after="0"/>
            </w:pPr>
            <w:r>
              <w:rPr>
                <w:b w:val="false"/>
                <w:bCs w:val="false"/>
                <w:sz w:val="20"/>
                <w:szCs w:val="20"/>
              </w:rPr>
              <w:t xml:space="preserve">Missing signatures, incomplete records — OCR/document understanding; flags only, no interpretation.</w:t>
            </w:r>
          </w:p>
        </w:tc>
      </w:tr>
    </w:tbl>
    <w:p>
      <w:pPr>
        <w:pStyle w:val="Heading1"/>
        <w:spacing w:after="140" w:before="280"/>
      </w:pPr>
      <w:r>
        <w:t xml:space="preserve">Tier 4 — High-Complexity Use Cases &amp; AI Use-Case Inspiration</w:t>
      </w:r>
    </w:p>
    <w:p>
      <w:pPr>
        <w:spacing w:after="120"/>
      </w:pPr>
      <w:r>
        <w:t xml:space="preserve">Held back on complexity and clinical-adjacency grounds, not channel. Revisit only after Tier 3 is stable in production.</w:t>
      </w:r>
    </w:p>
    <w:p>
      <w:pPr>
        <w:pStyle w:val="Heading2"/>
        <w:spacing w:after="140" w:before="280"/>
      </w:pPr>
      <w:r>
        <w:t xml:space="preserve">High-complexity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DF2" w:color="auto" w:val="clear"/>
            <w:tcMar>
              <w:top w:type="dxa" w:w="80"/>
              <w:left w:type="dxa" w:w="120"/>
              <w:bottom w:type="dxa" w:w="80"/>
              <w:right w:type="dxa" w:w="120"/>
            </w:tcMar>
          </w:tcPr>
          <w:p>
            <w:pPr>
              <w:spacing w:after="0"/>
            </w:pPr>
            <w:r>
              <w:rPr>
                <w:b/>
                <w:bCs/>
                <w:sz w:val="20"/>
                <w:szCs w:val="20"/>
              </w:rPr>
              <w:t xml:space="preserve">Use Case</w:t>
            </w:r>
          </w:p>
        </w:tc>
        <w:tc>
          <w:tcPr>
            <w:tcW w:type="dxa" w:w="6760"/>
            <w:shd w:fill="E8EDF2" w:color="auto" w:val="clear"/>
            <w:tcMar>
              <w:top w:type="dxa" w:w="80"/>
              <w:left w:type="dxa" w:w="120"/>
              <w:bottom w:type="dxa" w:w="80"/>
              <w:right w:type="dxa" w:w="120"/>
            </w:tcMar>
          </w:tcPr>
          <w:p>
            <w:pPr>
              <w:spacing w:after="0"/>
            </w:pPr>
            <w:r>
              <w:rPr>
                <w:b/>
                <w:bCs/>
                <w:sz w:val="20"/>
                <w:szCs w:val="20"/>
              </w:rPr>
              <w:t xml:space="preserve">Reason held back</w:t>
            </w:r>
          </w:p>
        </w:tc>
      </w:tr>
      <w:tr>
        <w:tc>
          <w:tcPr>
            <w:tcW w:type="dxa" w:w="2600"/>
            <w:tcMar>
              <w:top w:type="dxa" w:w="80"/>
              <w:left w:type="dxa" w:w="120"/>
              <w:bottom w:type="dxa" w:w="80"/>
              <w:right w:type="dxa" w:w="120"/>
            </w:tcMar>
          </w:tcPr>
          <w:p>
            <w:pPr>
              <w:spacing w:after="0"/>
            </w:pPr>
            <w:r>
              <w:rPr>
                <w:b w:val="false"/>
                <w:bCs w:val="false"/>
                <w:sz w:val="20"/>
                <w:szCs w:val="20"/>
              </w:rPr>
              <w:t xml:space="preserve">Prior authorization submission</w:t>
            </w:r>
          </w:p>
        </w:tc>
        <w:tc>
          <w:tcPr>
            <w:tcW w:type="dxa" w:w="6760"/>
            <w:tcMar>
              <w:top w:type="dxa" w:w="80"/>
              <w:left w:type="dxa" w:w="120"/>
              <w:bottom w:type="dxa" w:w="80"/>
              <w:right w:type="dxa" w:w="120"/>
            </w:tcMar>
          </w:tcPr>
          <w:p>
            <w:pPr>
              <w:spacing w:after="0"/>
            </w:pPr>
            <w:r>
              <w:rPr>
                <w:b w:val="false"/>
                <w:bCs w:val="false"/>
                <w:sz w:val="20"/>
                <w:szCs w:val="20"/>
              </w:rPr>
              <w:t xml:space="preserve">Vendor-heavy (CoverMyMeds/Surescripts-class tooling), borders on clinical judgment; EMR vendor payer platforms and CMS interoperability rules may reduce future need to build this directly.</w:t>
            </w:r>
          </w:p>
        </w:tc>
      </w:tr>
      <w:tr>
        <w:tc>
          <w:tcPr>
            <w:tcW w:type="dxa" w:w="2600"/>
            <w:tcMar>
              <w:top w:type="dxa" w:w="80"/>
              <w:left w:type="dxa" w:w="120"/>
              <w:bottom w:type="dxa" w:w="80"/>
              <w:right w:type="dxa" w:w="120"/>
            </w:tcMar>
          </w:tcPr>
          <w:p>
            <w:pPr>
              <w:spacing w:after="0"/>
            </w:pPr>
            <w:r>
              <w:rPr>
                <w:b w:val="false"/>
                <w:bCs w:val="false"/>
                <w:sz w:val="20"/>
                <w:szCs w:val="20"/>
              </w:rPr>
              <w:t xml:space="preserve">LLM-drafted clinical summaries / message triage / EHR search &amp; summarization / patient health summaries</w:t>
            </w:r>
          </w:p>
        </w:tc>
        <w:tc>
          <w:tcPr>
            <w:tcW w:type="dxa" w:w="6760"/>
            <w:tcMar>
              <w:top w:type="dxa" w:w="80"/>
              <w:left w:type="dxa" w:w="120"/>
              <w:bottom w:type="dxa" w:w="80"/>
              <w:right w:type="dxa" w:w="120"/>
            </w:tcMar>
          </w:tcPr>
          <w:p>
            <w:pPr>
              <w:spacing w:after="0"/>
            </w:pPr>
            <w:r>
              <w:rPr>
                <w:b w:val="false"/>
                <w:bCs w:val="false"/>
                <w:sz w:val="20"/>
                <w:szCs w:val="20"/>
              </w:rPr>
              <w:t xml:space="preserve">High complexity, closest to the clinical line — even as staff-facing drafts with mandatory human review. Gartner-rated Likely Win, but sequenced last among drafting work.</w:t>
            </w:r>
          </w:p>
        </w:tc>
      </w:tr>
      <w:tr>
        <w:tc>
          <w:tcPr>
            <w:tcW w:type="dxa" w:w="2600"/>
            <w:tcMar>
              <w:top w:type="dxa" w:w="80"/>
              <w:left w:type="dxa" w:w="120"/>
              <w:bottom w:type="dxa" w:w="80"/>
              <w:right w:type="dxa" w:w="120"/>
            </w:tcMar>
          </w:tcPr>
          <w:p>
            <w:pPr>
              <w:spacing w:after="0"/>
            </w:pPr>
            <w:r>
              <w:rPr>
                <w:b w:val="false"/>
                <w:bCs w:val="false"/>
                <w:sz w:val="20"/>
                <w:szCs w:val="20"/>
              </w:rPr>
              <w:t xml:space="preserve">Denials &amp; appeals management</w:t>
            </w:r>
          </w:p>
        </w:tc>
        <w:tc>
          <w:tcPr>
            <w:tcW w:type="dxa" w:w="6760"/>
            <w:tcMar>
              <w:top w:type="dxa" w:w="80"/>
              <w:left w:type="dxa" w:w="120"/>
              <w:bottom w:type="dxa" w:w="80"/>
              <w:right w:type="dxa" w:w="120"/>
            </w:tcMar>
          </w:tcPr>
          <w:p>
            <w:pPr>
              <w:spacing w:after="0"/>
            </w:pPr>
            <w:r>
              <w:rPr>
                <w:b w:val="false"/>
                <w:bCs w:val="false"/>
                <w:sz w:val="20"/>
                <w:szCs w:val="20"/>
              </w:rPr>
              <w:t xml:space="preserve">Fast-follow to referral/PA status lookup; Gartner-rated Calculated Risk.</w:t>
            </w:r>
          </w:p>
        </w:tc>
      </w:tr>
      <w:tr>
        <w:tc>
          <w:tcPr>
            <w:tcW w:type="dxa" w:w="2600"/>
            <w:tcMar>
              <w:top w:type="dxa" w:w="80"/>
              <w:left w:type="dxa" w:w="120"/>
              <w:bottom w:type="dxa" w:w="80"/>
              <w:right w:type="dxa" w:w="120"/>
            </w:tcMar>
          </w:tcPr>
          <w:p>
            <w:pPr>
              <w:spacing w:after="0"/>
            </w:pPr>
            <w:r>
              <w:rPr>
                <w:b w:val="false"/>
                <w:bCs w:val="false"/>
                <w:sz w:val="20"/>
                <w:szCs w:val="20"/>
              </w:rPr>
              <w:t xml:space="preserve">Full conversational voice agent</w:t>
            </w:r>
          </w:p>
        </w:tc>
        <w:tc>
          <w:tcPr>
            <w:tcW w:type="dxa" w:w="6760"/>
            <w:tcMar>
              <w:top w:type="dxa" w:w="80"/>
              <w:left w:type="dxa" w:w="120"/>
              <w:bottom w:type="dxa" w:w="80"/>
              <w:right w:type="dxa" w:w="120"/>
            </w:tcMar>
          </w:tcPr>
          <w:p>
            <w:pPr>
              <w:spacing w:after="0"/>
            </w:pPr>
            <w:r>
              <w:rPr>
                <w:b w:val="false"/>
                <w:bCs w:val="false"/>
                <w:sz w:val="20"/>
                <w:szCs w:val="20"/>
              </w:rPr>
              <w:t xml:space="preserve">Patient context, appointment history, recall logic, intelligent routing — the mature end-state of the Tier 3 voice assistant.</w:t>
            </w:r>
          </w:p>
        </w:tc>
      </w:tr>
    </w:tbl>
    <w:p>
      <w:pPr>
        <w:pStyle w:val="Heading2"/>
        <w:spacing w:after="140" w:before="280"/>
      </w:pPr>
      <w:r>
        <w:t xml:space="preserve">AI use-case inspiration (from Gartner GenAI deck and Tier 2 evolution)</w:t>
      </w:r>
    </w:p>
    <w:p>
      <w:pPr>
        <w:pStyle w:val="ListParagraph"/>
        <w:numPr>
          <w:ilvl w:val="0"/>
          <w:numId w:val="2"/>
        </w:numPr>
        <w:spacing w:after="80"/>
      </w:pPr>
      <w:r>
        <w:t xml:space="preserve">Ambient digital scribe — highest-rated item in Gartner deck</w:t>
      </w:r>
    </w:p>
    <w:p>
      <w:pPr>
        <w:pStyle w:val="ListParagraph"/>
        <w:numPr>
          <w:ilvl w:val="0"/>
          <w:numId w:val="2"/>
        </w:numPr>
        <w:spacing w:after="80"/>
      </w:pPr>
      <w:r>
        <w:t xml:space="preserve">Contact center / AI-assisted call handling</w:t>
      </w:r>
    </w:p>
    <w:p>
      <w:pPr>
        <w:pStyle w:val="ListParagraph"/>
        <w:numPr>
          <w:ilvl w:val="0"/>
          <w:numId w:val="2"/>
        </w:numPr>
        <w:spacing w:after="80"/>
      </w:pPr>
      <w:r>
        <w:t xml:space="preserve">Autonomous eligibility verification (AI-assisted) — natural evolution of Tier 2 eligibility work</w:t>
      </w:r>
    </w:p>
    <w:p>
      <w:pPr>
        <w:pStyle w:val="ListParagraph"/>
        <w:numPr>
          <w:ilvl w:val="0"/>
          <w:numId w:val="2"/>
        </w:numPr>
        <w:spacing w:after="80"/>
      </w:pPr>
      <w:r>
        <w:t xml:space="preserve">Patient engagement messaging (smarter reminders) — upgrade path for Tier 2 SMS reminders and care-gap outreach; Gartner-rated Likely Win</w:t>
      </w:r>
    </w:p>
    <w:p>
      <w:pPr>
        <w:pStyle w:val="Heading1"/>
        <w:spacing w:after="140" w:before="280"/>
      </w:pPr>
      <w:r>
        <w:t xml:space="preserve">Permanently Excluded — Not Deferred</w:t>
      </w:r>
    </w:p>
    <w:p>
      <w:pPr>
        <w:spacing w:after="120"/>
      </w:pPr>
      <w:r>
        <w:t xml:space="preserve">Distinct from Tier 3/4 deferrals: these are excluded from automation indefinitely, on clinical-safety grounds, not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DF2" w:color="auto" w:val="clear"/>
            <w:tcMar>
              <w:top w:type="dxa" w:w="80"/>
              <w:left w:type="dxa" w:w="120"/>
              <w:bottom w:type="dxa" w:w="80"/>
              <w:right w:type="dxa" w:w="120"/>
            </w:tcMar>
          </w:tcPr>
          <w:p>
            <w:pPr>
              <w:spacing w:after="0"/>
            </w:pPr>
            <w:r>
              <w:rPr>
                <w:b/>
                <w:bCs/>
                <w:sz w:val="20"/>
                <w:szCs w:val="20"/>
              </w:rPr>
              <w:t xml:space="preserve">Use Case</w:t>
            </w:r>
          </w:p>
        </w:tc>
        <w:tc>
          <w:tcPr>
            <w:tcW w:type="dxa" w:w="6760"/>
            <w:shd w:fill="E8EDF2" w:color="auto" w:val="clear"/>
            <w:tcMar>
              <w:top w:type="dxa" w:w="80"/>
              <w:left w:type="dxa" w:w="120"/>
              <w:bottom w:type="dxa" w:w="80"/>
              <w:right w:type="dxa" w:w="120"/>
            </w:tcMar>
          </w:tcPr>
          <w:p>
            <w:pPr>
              <w:spacing w:after="0"/>
            </w:pPr>
            <w:r>
              <w:rPr>
                <w:b/>
                <w:bCs/>
                <w:sz w:val="20"/>
                <w:szCs w:val="20"/>
              </w:rPr>
              <w:t xml:space="preserve">Reason</w:t>
            </w:r>
          </w:p>
        </w:tc>
      </w:tr>
      <w:tr>
        <w:tc>
          <w:tcPr>
            <w:tcW w:type="dxa" w:w="2600"/>
            <w:tcMar>
              <w:top w:type="dxa" w:w="80"/>
              <w:left w:type="dxa" w:w="120"/>
              <w:bottom w:type="dxa" w:w="80"/>
              <w:right w:type="dxa" w:w="120"/>
            </w:tcMar>
          </w:tcPr>
          <w:p>
            <w:pPr>
              <w:spacing w:after="0"/>
            </w:pPr>
            <w:r>
              <w:rPr>
                <w:b w:val="false"/>
                <w:bCs w:val="false"/>
                <w:sz w:val="20"/>
                <w:szCs w:val="20"/>
              </w:rPr>
              <w:t xml:space="preserve">Delivering lab results to patients</w:t>
            </w:r>
          </w:p>
        </w:tc>
        <w:tc>
          <w:tcPr>
            <w:tcW w:type="dxa" w:w="6760"/>
            <w:tcMar>
              <w:top w:type="dxa" w:w="80"/>
              <w:left w:type="dxa" w:w="120"/>
              <w:bottom w:type="dxa" w:w="80"/>
              <w:right w:type="dxa" w:w="120"/>
            </w:tcMar>
          </w:tcPr>
          <w:p>
            <w:pPr>
              <w:spacing w:after="0"/>
            </w:pPr>
            <w:r>
              <w:rPr>
                <w:b w:val="false"/>
                <w:bCs w:val="false"/>
                <w:sz w:val="20"/>
                <w:szCs w:val="20"/>
              </w:rPr>
              <w:t xml:space="preserve">Stays staff-delivered indefinitely. At most, a future Tier 3 tool could draft a message for staff to review and send — never sent directly to the patient.</w:t>
            </w:r>
          </w:p>
        </w:tc>
      </w:tr>
      <w:tr>
        <w:tc>
          <w:tcPr>
            <w:tcW w:type="dxa" w:w="2600"/>
            <w:tcMar>
              <w:top w:type="dxa" w:w="80"/>
              <w:left w:type="dxa" w:w="120"/>
              <w:bottom w:type="dxa" w:w="80"/>
              <w:right w:type="dxa" w:w="120"/>
            </w:tcMar>
          </w:tcPr>
          <w:p>
            <w:pPr>
              <w:spacing w:after="0"/>
            </w:pPr>
            <w:r>
              <w:rPr>
                <w:b w:val="false"/>
                <w:bCs w:val="false"/>
                <w:sz w:val="20"/>
                <w:szCs w:val="20"/>
              </w:rPr>
              <w:t xml:space="preserve">Explaining lab result significance to patients</w:t>
            </w:r>
          </w:p>
        </w:tc>
        <w:tc>
          <w:tcPr>
            <w:tcW w:type="dxa" w:w="6760"/>
            <w:tcMar>
              <w:top w:type="dxa" w:w="80"/>
              <w:left w:type="dxa" w:w="120"/>
              <w:bottom w:type="dxa" w:w="80"/>
              <w:right w:type="dxa" w:w="120"/>
            </w:tcMar>
          </w:tcPr>
          <w:p>
            <w:pPr>
              <w:spacing w:after="0"/>
            </w:pPr>
            <w:r>
              <w:rPr>
                <w:b w:val="false"/>
                <w:bCs w:val="false"/>
                <w:sz w:val="20"/>
                <w:szCs w:val="20"/>
              </w:rPr>
              <w:t xml:space="preserve">Direct clinical interpretation — sits on the charter's “never diagnosis/triage” line.</w:t>
            </w:r>
          </w:p>
        </w:tc>
      </w:tr>
    </w:tbl>
    <w:p>
      <w:pPr>
        <w:pStyle w:val="Heading1"/>
        <w:spacing w:after="140" w:before="280"/>
      </w:pPr>
      <w:r>
        <w:t xml:space="preserve">Pilot Commercial Notes (Internal)</w:t>
      </w:r>
    </w:p>
    <w:p>
      <w:pPr>
        <w:spacing w:after="120"/>
      </w:pPr>
      <w:r>
        <w:t xml:space="preserve">Recorded here so the pilot terms and any future offer stay consistent. Not for the client deck beyond what each slide already states.</w:t>
      </w:r>
    </w:p>
    <w:p>
      <w:pPr>
        <w:pStyle w:val="ListParagraph"/>
        <w:numPr>
          <w:ilvl w:val="0"/>
          <w:numId w:val="2"/>
        </w:numPr>
        <w:spacing w:after="80"/>
      </w:pPr>
      <w:r>
        <w:t xml:space="preserve">Pilot: development, integration, customization, and support are free. Clinic covers only third-party infrastructure at cost — fixed monthly fee, Tier 2 stack only (AWS hosting, cloud fax API, SMS delivery, eligibility clearinghouse). Retell (voice, now Tier 3) and Bedrock/Vertex costs enter only if/when Tier 3 is adopted.</w:t>
      </w:r>
    </w:p>
    <w:p>
      <w:pPr>
        <w:pStyle w:val="ListParagraph"/>
        <w:numPr>
          <w:ilvl w:val="0"/>
          <w:numId w:val="2"/>
        </w:numPr>
        <w:spacing w:after="80"/>
      </w:pPr>
      <w:r>
        <w:t xml:space="preserve">Future phases (Tier 3/4) are presented in the deck as optional paid upgrades — a growth path, not commitments. If adopted, any additional infrastructure cost is reviewed together against actual bills at rollout. No future-phase pricing is settled now.</w:t>
      </w:r>
    </w:p>
    <w:p>
      <w:pPr>
        <w:pStyle w:val="ListParagraph"/>
        <w:numPr>
          <w:ilvl w:val="0"/>
          <w:numId w:val="2"/>
        </w:numPr>
        <w:spacing w:after="80"/>
      </w:pPr>
      <w:r>
        <w:t xml:space="preserve">Long-term model (post-stabilization, ~12 months): software stays free; ongoing support/maintenance becomes the paid service. Requires a formal discussion at that point — deliberately not in the pitch deck, where support language is scoped to the pilot only.</w:t>
      </w:r>
    </w:p>
    <w:p>
      <w:pPr>
        <w:spacing w:before="240"/>
      </w:pPr>
      <w:r>
        <w:rPr>
          <w:sz w:val="20"/>
          <w:szCs w:val="20"/>
        </w:rPr>
        <w:t xml:space="preserve"/>
      </w:r>
    </w:p>
    <w:p>
      <w:pPr>
        <w:spacing w:after="120"/>
      </w:pPr>
      <w:r>
        <w:rPr>
          <w:i/>
          <w:iCs/>
          <w:sz w:val="20"/>
          <w:szCs w:val="20"/>
        </w:rPr>
        <w:t xml:space="preserve">Prepared for internal discussion — Halo Holdings Track B planning.</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2026-08-31T00:56:48.640Z</dcterms:created>
  <dcterms:modified xsi:type="dcterms:W3CDTF">2026-08-31T00:56:48.653Z</dcterms:modified>
</cp:coreProperties>
</file>

<file path=docProps/custom.xml><?xml version="1.0" encoding="utf-8"?>
<Properties xmlns="http://schemas.openxmlformats.org/officeDocument/2006/custom-properties" xmlns:vt="http://schemas.openxmlformats.org/officeDocument/2006/docPropsVTypes"/>
</file>