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Halo Holdings — Track B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E6E6E"/>
          <w:sz w:val="34"/>
          <w:szCs w:val="34"/>
        </w:rPr>
        <w:t xml:space="preserve">HaloFlow / HaloVox Medical — Use Case Roadmap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Working document for further discussion. Reflects use-case scoping decisions as of the Tier 2 planning conversations to date.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Last updated: July 29, 2026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Tier 1 — Compliance &amp; Infrastructure Foundation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 a set of use cases — a completion gate that must be substantially done before Tier 2 goes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BAA execution with the clinic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Subprocessor BAA chain (hosting, eligibility API, fax/records routing, SMS delivery)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PHI/data boundary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Tenant isolation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Security baseline (encryption, access controls, audit logging)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Compliance documentation (breach notification, minimum-necessary-use, retention/deletion)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Integration provisioning — Epic, fax system, eligibility clearinghouse (read-first)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Tier 2 — Locked v1 Scope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Rules-based, non-AI, non-voice. This is HaloFlow's initial pilot product.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  <w:gridCol w:w="1400"/>
      </w:tblGrid>
      <w:tr>
        <w:trPr>
          <w:cantSplit/>
          <w:tblHeader/>
        </w:trPr>
        <w:tc>
          <w:tcPr>
            <w:tcW w:type="dxa" w:w="26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2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/ Details</w:t>
            </w:r>
          </w:p>
        </w:tc>
        <w:tc>
          <w:tcPr>
            <w:tcW w:type="dxa" w:w="1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Reminders / no-show reduction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SMS-based. Confirmation request ~2 days pre-visit. Rebooking prompts on no-show. Confirmation status written back to Epic (exact field TBD).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Locked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Insurance eligibility checks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Automated for 3 priority payers: Anthem/HealthKeepers, UnitedHealthcare, Sentara Health Plans. Default 3–5 days pre-visit (configurable per tenant). Office notified on ineligible result. Other payers → manual verification flag; volume tracked to prioritize payer #4+.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Locked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Fax/records routing — inbound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Sort by sender number and/or dedicated receiving line; route to correct queue. No OCR required for v1.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Locked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Fax/records routing — outbound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Auto-populate cover sheet from Epic data, send via fax API, log delivery confirmation back to chart. Record selection stays manual (staff judgment).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Locked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Preventive care / care-gap outreach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Replaces the earlier “seasonal campaign lists” item (dropped — low-value at this clinic; opt-in flu list is small and built at checkout). Dual mode, both required since workflow differs payer to payer: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(a)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due-date tracking from Epic on simple annual/fixed intervals (rules-based — distinct from diagnosis/interval recall, which stays Tier 3);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(b)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outreach against uploaded payer care-gap lists (staff upload the payer file; system runs SMS outreach against it). Example measures: Medicare AWV, post-discharge/TCM follow-up, breast &amp; colorectal cancer screening, diabetes A1c &amp; eye exam, blood-pressure follow-up.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Locked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Open items before Tier 1 boundary mapping is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how Epic captures appointment confirmation (structured field vs. free-text note) — pending answer from clinic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the 3 priority payers match actual clinic payer mix, and check clearinghouse trading-partner connectivity for each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clinic fax line is already digital (efax/cloud fax) vs. physical machine — hard prerequisite for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which preventive/care-gap measures have due dates recoverable from Epic vs. payer-list-only, and in what format each priority payer delivers care-gap 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Gather rough monthly volumes (SMS sends, fax pages in/out, eligibility checks) to replace the $XXX infrastructure-cost placeholder with a real estimate before the pitch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Tier 3 — Voice Agent Assistant + LLM-Assisted (Low-Complexity)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Introduced after Tier 2 proves the compliance/architecture pattern. Voice pulled forward from Tier 4: proven Track A (vet) voice experience makes implementation straightforward, and voice closes the end-to-end workflow. Voice via Retell AI (self-serve BAA, pay-as-you-go) — Retell BAA now enters at Tier 3 adoption. LLM usage via AWS Bedrock or Google Vertex AI only. One language engine, two channels (voice call and SMS/text); one shared approval workflow: capture → pending → staff/provider approval → action + patient notification. Discipline unchanged: collection, lookup, and drafting only — never diagnosis or triage.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1. Patient request intake — voice and text (LLM-powered, inbound)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/ Notes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Appointment request intake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Collects details (DOB, new/existing, preferred provider/dates) and adds the request to the calendar with pending status. Approval-gated booking: after doctor/staff approval, the slot is confirmed and a confirmation SMS goes to the patient automatically. Never books autonomously.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Refill request intake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Same approval-gated pattern: collects drug, DOB, and preferred pharmacy, then places a pending refill request routed to the doctor/provider for approval. Only after approval is the refill processed and the patient notified. Never approves or fills autonomously.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Routine questions (office &amp; billing FAQ)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Hours, directions, fax, insurance accepted, balance, payment link, portal/forms — voice and text channels.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Referral status lookup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Status only (pending/approved/needs-authorization) — no clinical interpretation.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2. Event-driven outreach — conversational (SMS or call, outbound)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Outbound messages are templated; the LLM's job is parsing free-form patient replies into structured pending items. Any resulting schedule change follows the same approval gate.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 → Scope / Notes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Appointment rescheduling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Trigger: no-show or cancellation → rebooking outreach. Patient's reply is parsed into a pending calendar change, confirmed only after staff/provider approval, then the patient is notified. Never auto-books.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Follow-up visit scheduling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Trigger: provider instruction or discharge → outreach to schedule the follow-up. Same pending → approval → confirmation pattern.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Lab-order completion outreach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Trigger: doctor places a lab order in Epic → patient outreach with instructions (location, fasting, timing) and reminders until completed; staff flagged if the visit date approaches with labs still incomplete. The system never creates, modifies, or cancels a lab order — it only communicates about orders the doctor placed.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Recall (interval/diagnosis-based reminders)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Trigger: interval due date. Deferred from Tier 2 — too complex for rules-based mandate; revisit once EMR interval data access is confirmed.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3. Back-office LLM assistance (low-complexity)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 / Notes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Drafted paperwork (fax cover letters, referral letters)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Templated, staff-facing drafts — human review required before anything is sent. (Clinical summaries and message triage stay in Tier 4 as high-complexity.)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Fax content completeness review (OCR)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Missing signatures, incomplete records — OCR/document understanding; flags only, no interpretation.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Tier 4 — High-Complexity Use Cases &amp; AI Use-Case Inspiration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Held back on complexity and clinical-adjacency grounds, not channel. Revisit only after Tier 3 is stable in production.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High-complexity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 held back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 authorization submission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Vendor-heavy (CoverMyMeds/Surescripts-class tooling), borders on clinical judgment; Epic Payer Platform / CMS interoperability rules may reduce future need to build this directly.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LLM-drafted clinical summaries / message triage / EHR search &amp; summarization / patient health summaries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 complexity, closest to the clinical line — even as staff-facing drafts with mandatory human review. Gartner-rated Likely Win, but sequenced last among drafting work.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Denials &amp; appeals management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Fast-follow to referral/PA status lookup; Gartner-rated Calculated Risk.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conversational voice agent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Patient context, appointment history, recall logic, intelligent routing — the mature end-state of the Tier 3 voice assistant.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5"/>
          <w:szCs w:val="25"/>
        </w:rPr>
        <w:t xml:space="preserve">AI use-case inspiration (from Gartner GenAI deck and Tier 2 evolution)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Ambient digital scribe — highest-rated item in Gartner deck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Contact center / AI-assisted call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Autonomous eligibility verification (AI-assisted) — natural evolution of Tier 2 eligibility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 engagement messaging (smarter reminders) — upgrade path for Tier 2 SMS reminders and care-gap outreach; Gartner-rated Likely Win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Permanently Excluded — Not Deferred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Distinct from Tier 3/4 deferrals: these are excluded from automation indefinitely, on clinical-safety grounds, not sequencing.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800"/>
            <w:shd w:fill="0E6E6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Delivering lab results to patients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Stays staff-delivered indefinitely. At most, a future Tier 3 tool could draft a message for staff to review and send — never sent directly to the patient.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Explaining lab result significance to patients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Direct clinical interpretation — sits on the charter's “never diagnosis/triage” line.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E6E6E"/>
          <w:sz w:val="30"/>
          <w:szCs w:val="30"/>
        </w:rPr>
        <w:t xml:space="preserve">Pilot Commercial Notes (Internal)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Recorded here so the pilot terms and any future offer stay consistent. Not for the client deck beyond what each slide already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Pilot: development, integration, customization, and support are free. Clinic covers only third-party infrastructure at cost — fixed monthly fee, Tier 2 stack only (AWS hosting, cloud fax API, SMS delivery, eligibility clearinghouse). Retell (voice, now Tier 3) and Bedrock/Vertex costs enter only if/when Tier 3 is adopted.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Future phases (Tier 3/4) are presented in the deck as optional paid upgrades — a growth path, not commitments. If adopted, any additional infrastructure cost is reviewed together against actual bills at rollout. No future-phase pricing is settled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Long-term model (post-stabilization, ~12 months): software stays free; ongoing support/maintenance becomes the paid service. Requires a formal discussion at that point — deliberately not in the pitch deck, where support language is scoped to the pilot only.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Prepared for internal discussion — Halo Holdings Track B planning.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2026-07-29T17:50:59.681Z</dcterms:created>
  <dcterms:modified xsi:type="dcterms:W3CDTF">2026-07-29T17:50:59.697Z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