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188"/>
        <w:gridCol w:w="5188"/>
      </w:tblGrid>
      <w:tr>
        <w:tc>
          <w:tcPr>
            <w:tcW w:type="dxa" w:w="8505"/>
            <w:tcBorders>
              <w:top w:sz="0" w:val="single" w:color="FFFFFF"/>
              <w:left w:sz="0" w:val="single" w:color="FFFFFF"/>
              <w:bottom w:sz="0" w:val="single" w:color="FFFFFF"/>
              <w:right w:sz="0" w:val="single" w:color="FFFFFF"/>
            </w:tcBorders>
          </w:tcPr>
          <w:p>
            <w:pPr>
              <w:spacing w:after="160"/>
            </w:pPr>
            <w:r>
              <w:rPr>
                <w:rFonts w:ascii="Arial" w:hAnsi="Arial" w:eastAsia="Arial"/>
                <w:b w:val="0"/>
                <w:color w:val="000000"/>
                <w:sz w:val="48"/>
              </w:rPr>
              <w:t>GUO Wei</w:t>
            </w:r>
          </w:p>
          <w:tbl>
            <w:tblPr>
              <w:tblW w:type="auto" w:w="0"/>
              <w:tblLayout w:type="fixed"/>
              <w:tblLook w:firstColumn="1" w:firstRow="1" w:lastColumn="0" w:lastRow="0" w:noHBand="0" w:noVBand="1" w:val="04A0"/>
            </w:tblPr>
            <w:tblGrid>
              <w:gridCol w:w="2835"/>
              <w:gridCol w:w="2835"/>
              <w:gridCol w:w="2835"/>
            </w:tblGrid>
            <w:tr>
              <w:tc>
                <w:tcPr>
                  <w:tcW w:type="dxa" w:w="2835"/>
                  <w:tcBorders>
                    <w:top w:sz="4" w:val="single" w:color="F2F2F2"/>
                    <w:left w:sz="4" w:val="single" w:color="F2F2F2"/>
                    <w:bottom w:sz="4" w:val="single" w:color="F2F2F2"/>
                    <w:right w:sz="4" w:val="single" w:color="F2F2F2"/>
                  </w:tcBorders>
                  <w:shd w:fill="F2F2F2"/>
                  <w:vAlign w:val="center"/>
                </w:tcPr>
                <w:p>
                  <w:pPr>
                    <w:spacing w:before="40" w:after="40"/>
                  </w:pPr>
                  <w:r>
                    <w:rPr>
                      <w:rFonts w:ascii="Arial" w:hAnsi="Arial" w:eastAsia="Arial"/>
                      <w:b/>
                      <w:color w:val="444444"/>
                      <w:sz w:val="17"/>
                    </w:rPr>
                    <w:t xml:space="preserve">Gender: </w:t>
                  </w:r>
                  <w:r>
                    <w:rPr>
                      <w:rFonts w:ascii="Arial" w:hAnsi="Arial" w:eastAsia="Arial"/>
                      <w:b w:val="0"/>
                      <w:color w:val="444444"/>
                      <w:sz w:val="17"/>
                    </w:rPr>
                    <w:t>Male</w:t>
                  </w:r>
                </w:p>
              </w:tc>
              <w:tc>
                <w:tcPr>
                  <w:tcW w:type="dxa" w:w="2835"/>
                  <w:tcBorders>
                    <w:top w:sz="4" w:val="single" w:color="F2F2F2"/>
                    <w:left w:sz="4" w:val="single" w:color="F2F2F2"/>
                    <w:bottom w:sz="4" w:val="single" w:color="F2F2F2"/>
                    <w:right w:sz="4" w:val="single" w:color="F2F2F2"/>
                  </w:tcBorders>
                  <w:shd w:fill="F2F2F2"/>
                  <w:vAlign w:val="center"/>
                </w:tcPr>
                <w:p>
                  <w:pPr>
                    <w:spacing w:before="40" w:after="40"/>
                  </w:pPr>
                  <w:r>
                    <w:rPr>
                      <w:rFonts w:ascii="Arial" w:hAnsi="Arial" w:eastAsia="Arial"/>
                      <w:b/>
                      <w:color w:val="444444"/>
                      <w:sz w:val="17"/>
                    </w:rPr>
                    <w:t xml:space="preserve">Age: </w:t>
                  </w:r>
                  <w:r>
                    <w:rPr>
                      <w:rFonts w:ascii="Arial" w:hAnsi="Arial" w:eastAsia="Arial"/>
                      <w:b w:val="0"/>
                      <w:color w:val="444444"/>
                      <w:sz w:val="17"/>
                    </w:rPr>
                    <w:t>20</w:t>
                  </w:r>
                </w:p>
              </w:tc>
              <w:tc>
                <w:tcPr>
                  <w:tcW w:type="dxa" w:w="2835"/>
                  <w:tcBorders>
                    <w:top w:sz="4" w:val="single" w:color="F2F2F2"/>
                    <w:left w:sz="4" w:val="single" w:color="F2F2F2"/>
                    <w:bottom w:sz="4" w:val="single" w:color="F2F2F2"/>
                    <w:right w:sz="4" w:val="single" w:color="F2F2F2"/>
                  </w:tcBorders>
                  <w:shd w:fill="F2F2F2"/>
                  <w:vAlign w:val="center"/>
                </w:tcPr>
                <w:p>
                  <w:pPr>
                    <w:spacing w:before="40" w:after="40"/>
                  </w:pPr>
                  <w:r>
                    <w:rPr>
                      <w:rFonts w:ascii="Arial" w:hAnsi="Arial" w:eastAsia="Arial"/>
                      <w:b/>
                      <w:color w:val="444444"/>
                      <w:sz w:val="17"/>
                    </w:rPr>
                    <w:t xml:space="preserve">Phone: </w:t>
                  </w:r>
                  <w:r>
                    <w:rPr>
                      <w:rFonts w:ascii="Arial" w:hAnsi="Arial" w:eastAsia="Arial"/>
                      <w:b w:val="0"/>
                      <w:color w:val="444444"/>
                      <w:sz w:val="17"/>
                    </w:rPr>
                    <w:t>15074714635</w:t>
                  </w:r>
                </w:p>
              </w:tc>
            </w:tr>
            <w:tr>
              <w:tc>
                <w:tcPr>
                  <w:tcW w:type="dxa" w:w="2835"/>
                  <w:tcBorders>
                    <w:top w:sz="4" w:val="single" w:color="F2F2F2"/>
                    <w:left w:sz="4" w:val="single" w:color="F2F2F2"/>
                    <w:bottom w:sz="4" w:val="single" w:color="F2F2F2"/>
                    <w:right w:sz="4" w:val="single" w:color="F2F2F2"/>
                  </w:tcBorders>
                  <w:shd w:fill="F2F2F2"/>
                  <w:vAlign w:val="center"/>
                </w:tcPr>
                <w:p>
                  <w:pPr>
                    <w:spacing w:before="40" w:after="40"/>
                  </w:pPr>
                  <w:r>
                    <w:rPr>
                      <w:rFonts w:ascii="Arial" w:hAnsi="Arial" w:eastAsia="Arial"/>
                      <w:b/>
                      <w:color w:val="444444"/>
                      <w:sz w:val="17"/>
                    </w:rPr>
                    <w:t xml:space="preserve">Hometown: </w:t>
                  </w:r>
                  <w:r>
                    <w:rPr>
                      <w:rFonts w:ascii="Arial" w:hAnsi="Arial" w:eastAsia="Arial"/>
                      <w:b w:val="0"/>
                      <w:color w:val="444444"/>
                      <w:sz w:val="17"/>
                    </w:rPr>
                    <w:t>Hengyang, Hunan</w:t>
                  </w:r>
                </w:p>
              </w:tc>
              <w:tc>
                <w:tcPr>
                  <w:tcW w:type="dxa" w:w="2835"/>
                  <w:tcBorders>
                    <w:top w:sz="4" w:val="single" w:color="F2F2F2"/>
                    <w:left w:sz="4" w:val="single" w:color="F2F2F2"/>
                    <w:bottom w:sz="4" w:val="single" w:color="F2F2F2"/>
                    <w:right w:sz="4" w:val="single" w:color="F2F2F2"/>
                  </w:tcBorders>
                  <w:shd w:fill="F2F2F2"/>
                  <w:vAlign w:val="center"/>
                </w:tcPr>
                <w:p>
                  <w:pPr>
                    <w:spacing w:before="40" w:after="40"/>
                  </w:pPr>
                  <w:r>
                    <w:rPr>
                      <w:rFonts w:ascii="Arial" w:hAnsi="Arial" w:eastAsia="Arial"/>
                      <w:b/>
                      <w:color w:val="444444"/>
                      <w:sz w:val="17"/>
                    </w:rPr>
                    <w:t xml:space="preserve">Email: </w:t>
                  </w:r>
                  <w:r>
                    <w:rPr>
                      <w:rFonts w:ascii="Arial" w:hAnsi="Arial" w:eastAsia="Arial"/>
                      <w:b w:val="0"/>
                      <w:color w:val="444444"/>
                      <w:sz w:val="17"/>
                    </w:rPr>
                    <w:t>326954@whut.edu.cn</w:t>
                  </w:r>
                </w:p>
              </w:tc>
              <w:tc>
                <w:tcPr>
                  <w:tcW w:type="dxa" w:w="2835"/>
                  <w:tcBorders>
                    <w:top w:sz="4" w:val="single" w:color="F2F2F2"/>
                    <w:left w:sz="4" w:val="single" w:color="F2F2F2"/>
                    <w:bottom w:sz="4" w:val="single" w:color="F2F2F2"/>
                    <w:right w:sz="4" w:val="single" w:color="F2F2F2"/>
                  </w:tcBorders>
                  <w:shd w:fill="F2F2F2"/>
                  <w:vAlign w:val="center"/>
                </w:tcPr>
                <w:p>
                  <w:pPr>
                    <w:spacing w:before="40" w:after="40"/>
                  </w:pPr>
                  <w:r>
                    <w:rPr>
                      <w:rFonts w:ascii="Arial" w:hAnsi="Arial" w:eastAsia="Arial"/>
                      <w:b/>
                      <w:color w:val="444444"/>
                      <w:sz w:val="17"/>
                    </w:rPr>
                    <w:t xml:space="preserve">Political: </w:t>
                  </w:r>
                  <w:r>
                    <w:rPr>
                      <w:rFonts w:ascii="Arial" w:hAnsi="Arial" w:eastAsia="Arial"/>
                      <w:b w:val="0"/>
                      <w:color w:val="444444"/>
                      <w:sz w:val="17"/>
                    </w:rPr>
                    <w:t>Prob. CPC Member</w:t>
                  </w:r>
                </w:p>
              </w:tc>
            </w:tr>
          </w:tbl>
          <w:p/>
        </w:tc>
        <w:tc>
          <w:tcPr>
            <w:tcW w:type="dxa" w:w="1587"/>
            <w:tcBorders>
              <w:top w:sz="0" w:val="single" w:color="FFFFFF"/>
              <w:left w:sz="0" w:val="single" w:color="FFFFFF"/>
              <w:bottom w:sz="0" w:val="single" w:color="FFFFFF"/>
              <w:right w:sz="0" w:val="single" w:color="FFFFFF"/>
            </w:tcBorders>
          </w:tcPr>
          <w:p>
            <w:pPr>
              <w:jc w:val="right"/>
            </w:pPr>
            <w:r>
              <w:drawing>
                <wp:inline xmlns:a="http://schemas.openxmlformats.org/drawingml/2006/main" xmlns:pic="http://schemas.openxmlformats.org/drawingml/2006/picture">
                  <wp:extent cx="846000" cy="1094542"/>
                  <wp:docPr id="1" name="Picture 1"/>
                  <wp:cNvGraphicFramePr>
                    <a:graphicFrameLocks noChangeAspect="1"/>
                  </wp:cNvGraphicFramePr>
                  <a:graphic>
                    <a:graphicData uri="http://schemas.openxmlformats.org/drawingml/2006/picture">
                      <pic:pic>
                        <pic:nvPicPr>
                          <pic:cNvPr id="0" name="guo_wei_photo.png"/>
                          <pic:cNvPicPr/>
                        </pic:nvPicPr>
                        <pic:blipFill>
                          <a:blip r:embed="rId9"/>
                          <a:stretch>
                            <a:fillRect/>
                          </a:stretch>
                        </pic:blipFill>
                        <pic:spPr>
                          <a:xfrm>
                            <a:off x="0" y="0"/>
                            <a:ext cx="846000" cy="1094542"/>
                          </a:xfrm>
                          <a:prstGeom prst="rect"/>
                        </pic:spPr>
                      </pic:pic>
                    </a:graphicData>
                  </a:graphic>
                </wp:inline>
              </w:drawing>
            </w:r>
          </w:p>
        </w:tc>
      </w:tr>
    </w:tbl>
    <w:tbl>
      <w:tblPr>
        <w:tblW w:type="auto" w:w="0"/>
        <w:tblLayout w:type="fixed"/>
        <w:tblLook w:firstColumn="1" w:firstRow="1" w:lastColumn="0" w:lastRow="0" w:noHBand="0" w:noVBand="1" w:val="04A0"/>
      </w:tblPr>
      <w:tblGrid>
        <w:gridCol w:w="5188"/>
        <w:gridCol w:w="5188"/>
      </w:tblGrid>
      <w:tr>
        <w:tc>
          <w:tcPr>
            <w:tcW w:type="dxa" w:w="2551"/>
            <w:tcBorders>
              <w:top w:sz="0" w:val="single" w:color="FFFFFF"/>
              <w:left w:sz="0" w:val="single" w:color="FFFFFF"/>
              <w:bottom w:sz="0" w:val="single" w:color="FFFFFF"/>
              <w:right w:sz="0" w:val="single" w:color="FFFFFF"/>
            </w:tcBorders>
            <w:shd w:fill="69AFAC"/>
            <w:vAlign w:val="center"/>
          </w:tcPr>
          <w:p>
            <w:pPr>
              <w:spacing w:before="60" w:after="60"/>
              <w:jc w:val="center"/>
            </w:pPr>
            <w:r>
              <w:rPr>
                <w:rFonts w:ascii="Arial" w:hAnsi="Arial" w:eastAsia="Arial"/>
                <w:b w:val="0"/>
                <w:color w:val="FFFFFF"/>
                <w:sz w:val="26"/>
              </w:rPr>
              <w:t>Education</w:t>
            </w:r>
          </w:p>
        </w:tc>
        <w:tc>
          <w:tcPr>
            <w:tcW w:type="dxa" w:w="7541"/>
            <w:tcBorders>
              <w:top w:sz="0" w:val="single" w:color="FFFFFF"/>
              <w:left w:sz="0" w:val="single" w:color="FFFFFF"/>
              <w:bottom w:sz="18" w:val="single" w:color="69AFAC"/>
              <w:right w:sz="0" w:val="single" w:color="FFFFFF"/>
            </w:tcBorders>
          </w:tcPr>
          <w:p/>
        </w:tc>
      </w:tr>
    </w:tbl>
    <w:tbl>
      <w:tblPr>
        <w:tblW w:type="auto" w:w="0"/>
        <w:tblLayout w:type="fixed"/>
        <w:tblLook w:firstColumn="1" w:firstRow="1" w:lastColumn="0" w:lastRow="0" w:noHBand="0" w:noVBand="1" w:val="04A0"/>
      </w:tblPr>
      <w:tblGrid>
        <w:gridCol w:w="5188"/>
        <w:gridCol w:w="5188"/>
      </w:tblGrid>
      <w:tr>
        <w:tc>
          <w:tcPr>
            <w:tcW w:type="dxa" w:w="3969"/>
            <w:tcBorders>
              <w:top w:sz="0" w:val="single" w:color="FFFFFF"/>
              <w:left w:sz="0" w:val="single" w:color="FFFFFF"/>
              <w:bottom w:sz="0" w:val="single" w:color="FFFFFF"/>
              <w:right w:sz="0" w:val="single" w:color="FFFFFF"/>
            </w:tcBorders>
          </w:tcPr>
          <w:p>
            <w:pPr>
              <w:spacing w:before="0" w:after="0" w:line="252" w:lineRule="auto"/>
            </w:pPr>
            <w:r>
              <w:rPr>
                <w:rFonts w:ascii="Arial" w:hAnsi="Arial" w:eastAsia="Arial"/>
                <w:b/>
                <w:color w:val="000000"/>
                <w:sz w:val="20"/>
              </w:rPr>
              <w:t>2021.9-2025.6</w:t>
            </w:r>
          </w:p>
        </w:tc>
        <w:tc>
          <w:tcPr>
            <w:tcW w:type="dxa" w:w="6123"/>
            <w:tcBorders>
              <w:top w:sz="0" w:val="single" w:color="FFFFFF"/>
              <w:left w:sz="0" w:val="single" w:color="FFFFFF"/>
              <w:bottom w:sz="0" w:val="single" w:color="FFFFFF"/>
              <w:right w:sz="0" w:val="single" w:color="FFFFFF"/>
            </w:tcBorders>
          </w:tcPr>
          <w:p>
            <w:pPr>
              <w:spacing w:after="0"/>
              <w:jc w:val="right"/>
            </w:pPr>
            <w:r>
              <w:rPr>
                <w:rFonts w:ascii="Arial" w:hAnsi="Arial" w:eastAsia="Arial"/>
                <w:b/>
                <w:color w:val="000000"/>
                <w:sz w:val="20"/>
              </w:rPr>
              <w:t>Wuhan University of Technology</w:t>
            </w:r>
          </w:p>
        </w:tc>
      </w:tr>
    </w:tbl>
    <w:p>
      <w:pPr>
        <w:spacing w:before="0" w:after="20" w:line="252" w:lineRule="auto"/>
      </w:pPr>
      <w:r>
        <w:rPr>
          <w:rFonts w:ascii="Arial" w:hAnsi="Arial" w:eastAsia="Arial"/>
          <w:b w:val="0"/>
          <w:color w:val="666666"/>
          <w:sz w:val="20"/>
        </w:rPr>
        <w:t>E-Commerce | Bachelor</w:t>
      </w:r>
    </w:p>
    <w:p>
      <w:pPr>
        <w:spacing w:before="0" w:after="20" w:line="252" w:lineRule="auto"/>
      </w:pPr>
      <w:r>
        <w:rPr>
          <w:rFonts w:ascii="Arial" w:hAnsi="Arial" w:eastAsia="Arial"/>
          <w:b w:val="0"/>
          <w:color w:val="666666"/>
          <w:sz w:val="17"/>
        </w:rPr>
        <w:t>Honors: Model Merit Student, Outstanding Undergraduate Graduate, National Encouragement Scholarship; compulsory-course GPA 4.153/5; ranked 3/51 in major.</w:t>
      </w:r>
    </w:p>
    <w:tbl>
      <w:tblPr>
        <w:tblW w:type="auto" w:w="0"/>
        <w:tblLayout w:type="fixed"/>
        <w:tblLook w:firstColumn="1" w:firstRow="1" w:lastColumn="0" w:lastRow="0" w:noHBand="0" w:noVBand="1" w:val="04A0"/>
      </w:tblPr>
      <w:tblGrid>
        <w:gridCol w:w="5188"/>
        <w:gridCol w:w="5188"/>
      </w:tblGrid>
      <w:tr>
        <w:tc>
          <w:tcPr>
            <w:tcW w:type="dxa" w:w="3969"/>
            <w:tcBorders>
              <w:top w:sz="0" w:val="single" w:color="FFFFFF"/>
              <w:left w:sz="0" w:val="single" w:color="FFFFFF"/>
              <w:bottom w:sz="0" w:val="single" w:color="FFFFFF"/>
              <w:right w:sz="0" w:val="single" w:color="FFFFFF"/>
            </w:tcBorders>
          </w:tcPr>
          <w:p>
            <w:pPr>
              <w:spacing w:before="0" w:after="0" w:line="252" w:lineRule="auto"/>
            </w:pPr>
            <w:r>
              <w:rPr>
                <w:rFonts w:ascii="Arial" w:hAnsi="Arial" w:eastAsia="Arial"/>
                <w:b/>
                <w:color w:val="000000"/>
                <w:sz w:val="20"/>
              </w:rPr>
              <w:t>2025.9-2028.6</w:t>
            </w:r>
          </w:p>
        </w:tc>
        <w:tc>
          <w:tcPr>
            <w:tcW w:type="dxa" w:w="6123"/>
            <w:tcBorders>
              <w:top w:sz="0" w:val="single" w:color="FFFFFF"/>
              <w:left w:sz="0" w:val="single" w:color="FFFFFF"/>
              <w:bottom w:sz="0" w:val="single" w:color="FFFFFF"/>
              <w:right w:sz="0" w:val="single" w:color="FFFFFF"/>
            </w:tcBorders>
          </w:tcPr>
          <w:p>
            <w:pPr>
              <w:spacing w:after="0"/>
              <w:jc w:val="right"/>
            </w:pPr>
            <w:r>
              <w:rPr>
                <w:rFonts w:ascii="Arial" w:hAnsi="Arial" w:eastAsia="Arial"/>
                <w:b/>
                <w:color w:val="000000"/>
                <w:sz w:val="20"/>
              </w:rPr>
              <w:t>Wuhan University of Technology</w:t>
            </w:r>
          </w:p>
        </w:tc>
      </w:tr>
    </w:tbl>
    <w:p>
      <w:pPr>
        <w:spacing w:before="0" w:after="20" w:line="252" w:lineRule="auto"/>
      </w:pPr>
      <w:r>
        <w:rPr>
          <w:rFonts w:ascii="Arial" w:hAnsi="Arial" w:eastAsia="Arial"/>
          <w:b w:val="0"/>
          <w:color w:val="666666"/>
          <w:sz w:val="20"/>
        </w:rPr>
        <w:t>International Business | Master</w:t>
      </w:r>
    </w:p>
    <w:p>
      <w:pPr>
        <w:spacing w:before="0" w:after="20" w:line="252" w:lineRule="auto"/>
      </w:pPr>
      <w:r>
        <w:rPr>
          <w:rFonts w:ascii="Arial" w:hAnsi="Arial" w:eastAsia="Arial"/>
          <w:b w:val="0"/>
          <w:color w:val="666666"/>
          <w:sz w:val="17"/>
        </w:rPr>
        <w:t>Awarded the First-Class Graduate Entrance Scholarship.</w:t>
      </w:r>
    </w:p>
    <w:tbl>
      <w:tblPr>
        <w:tblW w:type="auto" w:w="0"/>
        <w:tblLayout w:type="fixed"/>
        <w:tblLook w:firstColumn="1" w:firstRow="1" w:lastColumn="0" w:lastRow="0" w:noHBand="0" w:noVBand="1" w:val="04A0"/>
      </w:tblPr>
      <w:tblGrid>
        <w:gridCol w:w="5188"/>
        <w:gridCol w:w="5188"/>
      </w:tblGrid>
      <w:tr>
        <w:tc>
          <w:tcPr>
            <w:tcW w:type="dxa" w:w="2551"/>
            <w:tcBorders>
              <w:top w:sz="0" w:val="single" w:color="FFFFFF"/>
              <w:left w:sz="0" w:val="single" w:color="FFFFFF"/>
              <w:bottom w:sz="0" w:val="single" w:color="FFFFFF"/>
              <w:right w:sz="0" w:val="single" w:color="FFFFFF"/>
            </w:tcBorders>
            <w:shd w:fill="69AFAC"/>
            <w:vAlign w:val="center"/>
          </w:tcPr>
          <w:p>
            <w:pPr>
              <w:spacing w:before="60" w:after="60"/>
              <w:jc w:val="center"/>
            </w:pPr>
            <w:r>
              <w:rPr>
                <w:rFonts w:ascii="Arial" w:hAnsi="Arial" w:eastAsia="Arial"/>
                <w:b w:val="0"/>
                <w:color w:val="FFFFFF"/>
                <w:sz w:val="26"/>
              </w:rPr>
              <w:t>Project Experience</w:t>
            </w:r>
          </w:p>
        </w:tc>
        <w:tc>
          <w:tcPr>
            <w:tcW w:type="dxa" w:w="7541"/>
            <w:tcBorders>
              <w:top w:sz="0" w:val="single" w:color="FFFFFF"/>
              <w:left w:sz="0" w:val="single" w:color="FFFFFF"/>
              <w:bottom w:sz="18" w:val="single" w:color="69AFAC"/>
              <w:right w:sz="0" w:val="single" w:color="FFFFFF"/>
            </w:tcBorders>
          </w:tcPr>
          <w:p/>
        </w:tc>
      </w:tr>
    </w:tbl>
    <w:tbl>
      <w:tblPr>
        <w:tblW w:type="auto" w:w="0"/>
        <w:tblLayout w:type="fixed"/>
        <w:tblLook w:firstColumn="1" w:firstRow="1" w:lastColumn="0" w:lastRow="0" w:noHBand="0" w:noVBand="1" w:val="04A0"/>
      </w:tblPr>
      <w:tblGrid>
        <w:gridCol w:w="5188"/>
        <w:gridCol w:w="5188"/>
      </w:tblGrid>
      <w:tr>
        <w:tc>
          <w:tcPr>
            <w:tcW w:type="dxa" w:w="3969"/>
            <w:tcBorders>
              <w:top w:sz="0" w:val="single" w:color="FFFFFF"/>
              <w:left w:sz="0" w:val="single" w:color="FFFFFF"/>
              <w:bottom w:sz="0" w:val="single" w:color="FFFFFF"/>
              <w:right w:sz="0" w:val="single" w:color="FFFFFF"/>
            </w:tcBorders>
          </w:tcPr>
          <w:p>
            <w:pPr>
              <w:spacing w:before="0" w:after="0" w:line="252" w:lineRule="auto"/>
            </w:pPr>
            <w:r>
              <w:rPr>
                <w:rFonts w:ascii="Arial" w:hAnsi="Arial" w:eastAsia="Arial"/>
                <w:b/>
                <w:color w:val="000000"/>
                <w:sz w:val="20"/>
              </w:rPr>
              <w:t>2025.12-2026.4</w:t>
            </w:r>
          </w:p>
        </w:tc>
        <w:tc>
          <w:tcPr>
            <w:tcW w:type="dxa" w:w="6123"/>
            <w:tcBorders>
              <w:top w:sz="0" w:val="single" w:color="FFFFFF"/>
              <w:left w:sz="0" w:val="single" w:color="FFFFFF"/>
              <w:bottom w:sz="0" w:val="single" w:color="FFFFFF"/>
              <w:right w:sz="0" w:val="single" w:color="FFFFFF"/>
            </w:tcBorders>
          </w:tcPr>
          <w:p>
            <w:pPr>
              <w:spacing w:after="0"/>
              <w:jc w:val="right"/>
            </w:pPr>
            <w:r>
              <w:rPr>
                <w:rFonts w:ascii="Arial" w:hAnsi="Arial" w:eastAsia="Arial"/>
                <w:b/>
                <w:color w:val="000000"/>
                <w:sz w:val="20"/>
              </w:rPr>
              <w:t>Intelligent Technology Service Research Integrating Knowledge Graphs and AI LLMs</w:t>
            </w:r>
          </w:p>
        </w:tc>
      </w:tr>
    </w:tbl>
    <w:p>
      <w:pPr>
        <w:spacing w:before="0" w:after="20" w:line="252" w:lineRule="auto"/>
      </w:pPr>
      <w:r>
        <w:rPr>
          <w:rFonts w:ascii="Arial" w:hAnsi="Arial" w:eastAsia="Arial"/>
          <w:b w:val="0"/>
          <w:color w:val="666666"/>
          <w:sz w:val="17"/>
        </w:rPr>
        <w:t>Built an LLM- and knowledge-graph-based intelligent service system for technology transfer in key sectors such as shipping, enabling precise matching between research outputs and industry demand.</w:t>
      </w:r>
    </w:p>
    <w:p>
      <w:pPr>
        <w:spacing w:before="0" w:after="20" w:line="252" w:lineRule="auto"/>
      </w:pPr>
      <w:r>
        <w:rPr>
          <w:rFonts w:ascii="Arial" w:hAnsi="Arial" w:eastAsia="Arial"/>
          <w:b w:val="0"/>
          <w:color w:val="666666"/>
          <w:sz w:val="17"/>
        </w:rPr>
        <w:t>Collected and cleaned data across 20+ upstream and downstream shipping sub-sectors, building the underlying dataset for an industrial knowledge graph with 50,000+ entities and relationships.</w:t>
      </w:r>
    </w:p>
    <w:p>
      <w:pPr>
        <w:spacing w:before="0" w:after="20" w:line="252" w:lineRule="auto"/>
      </w:pPr>
      <w:r>
        <w:rPr>
          <w:rFonts w:ascii="Arial" w:hAnsi="Arial" w:eastAsia="Arial"/>
          <w:b w:val="0"/>
          <w:color w:val="666666"/>
          <w:sz w:val="17"/>
        </w:rPr>
        <w:t>Participated in LangChain-based Agent development; used Codex to support selected implementation tasks and optimized LLM calls, prompt design, and matching logic, reaching 85% Top-5 matching accuracy in test samples.</w:t>
      </w:r>
    </w:p>
    <w:tbl>
      <w:tblPr>
        <w:tblW w:type="auto" w:w="0"/>
        <w:tblLayout w:type="fixed"/>
        <w:tblLook w:firstColumn="1" w:firstRow="1" w:lastColumn="0" w:lastRow="0" w:noHBand="0" w:noVBand="1" w:val="04A0"/>
      </w:tblPr>
      <w:tblGrid>
        <w:gridCol w:w="5188"/>
        <w:gridCol w:w="5188"/>
      </w:tblGrid>
      <w:tr>
        <w:tc>
          <w:tcPr>
            <w:tcW w:type="dxa" w:w="3969"/>
            <w:tcBorders>
              <w:top w:sz="0" w:val="single" w:color="FFFFFF"/>
              <w:left w:sz="0" w:val="single" w:color="FFFFFF"/>
              <w:bottom w:sz="0" w:val="single" w:color="FFFFFF"/>
              <w:right w:sz="0" w:val="single" w:color="FFFFFF"/>
            </w:tcBorders>
          </w:tcPr>
          <w:p>
            <w:pPr>
              <w:spacing w:before="0" w:after="0" w:line="252" w:lineRule="auto"/>
            </w:pPr>
            <w:r>
              <w:rPr>
                <w:rFonts w:ascii="Arial" w:hAnsi="Arial" w:eastAsia="Arial"/>
                <w:b/>
                <w:color w:val="000000"/>
                <w:sz w:val="20"/>
              </w:rPr>
              <w:t>2026.1-2026.6</w:t>
            </w:r>
          </w:p>
        </w:tc>
        <w:tc>
          <w:tcPr>
            <w:tcW w:type="dxa" w:w="6123"/>
            <w:tcBorders>
              <w:top w:sz="0" w:val="single" w:color="FFFFFF"/>
              <w:left w:sz="0" w:val="single" w:color="FFFFFF"/>
              <w:bottom w:sz="0" w:val="single" w:color="FFFFFF"/>
              <w:right w:sz="0" w:val="single" w:color="FFFFFF"/>
            </w:tcBorders>
          </w:tcPr>
          <w:p>
            <w:pPr>
              <w:spacing w:after="0"/>
              <w:jc w:val="right"/>
            </w:pPr>
            <w:r>
              <w:rPr>
                <w:rFonts w:ascii="Arial" w:hAnsi="Arial" w:eastAsia="Arial"/>
                <w:b/>
                <w:color w:val="000000"/>
                <w:sz w:val="20"/>
              </w:rPr>
              <w:t>Wuling Motors Patent Service Agent Development</w:t>
            </w:r>
          </w:p>
        </w:tc>
      </w:tr>
    </w:tbl>
    <w:p>
      <w:pPr>
        <w:spacing w:before="0" w:after="20" w:line="252" w:lineRule="auto"/>
      </w:pPr>
      <w:r>
        <w:rPr>
          <w:rFonts w:ascii="Arial" w:hAnsi="Arial" w:eastAsia="Arial"/>
          <w:b w:val="0"/>
          <w:color w:val="666666"/>
          <w:sz w:val="17"/>
        </w:rPr>
        <w:t>Developed a patent-service intelligent agent for Guangxi Liuzhou Wuling Motors to support patent disclosure drafting, search-query generation, and patent search report generation.</w:t>
      </w:r>
    </w:p>
    <w:p>
      <w:pPr>
        <w:spacing w:before="0" w:after="20" w:line="252" w:lineRule="auto"/>
      </w:pPr>
      <w:r>
        <w:rPr>
          <w:rFonts w:ascii="Arial" w:hAnsi="Arial" w:eastAsia="Arial"/>
          <w:b w:val="0"/>
          <w:color w:val="666666"/>
          <w:sz w:val="17"/>
        </w:rPr>
        <w:t>Mapped core needs of IPR and PE engineers across patent submission, disclosure drafting, novelty search, and report generation; helped define functional modules and business workflows.</w:t>
      </w:r>
    </w:p>
    <w:p>
      <w:pPr>
        <w:spacing w:before="0" w:after="20" w:line="252" w:lineRule="auto"/>
      </w:pPr>
      <w:r>
        <w:rPr>
          <w:rFonts w:ascii="Arial" w:hAnsi="Arial" w:eastAsia="Arial"/>
          <w:b w:val="0"/>
          <w:color w:val="666666"/>
          <w:sz w:val="17"/>
        </w:rPr>
        <w:t>Designed and debugged five prompt templates and generation rules for mechanical structure, computer process, and industrial design scenarios, reducing initial disclosure drafting time from about two days to around ten minutes.</w:t>
      </w:r>
    </w:p>
    <w:tbl>
      <w:tblPr>
        <w:tblW w:type="auto" w:w="0"/>
        <w:tblLayout w:type="fixed"/>
        <w:tblLook w:firstColumn="1" w:firstRow="1" w:lastColumn="0" w:lastRow="0" w:noHBand="0" w:noVBand="1" w:val="04A0"/>
      </w:tblPr>
      <w:tblGrid>
        <w:gridCol w:w="5188"/>
        <w:gridCol w:w="5188"/>
      </w:tblGrid>
      <w:tr>
        <w:tc>
          <w:tcPr>
            <w:tcW w:type="dxa" w:w="2551"/>
            <w:tcBorders>
              <w:top w:sz="0" w:val="single" w:color="FFFFFF"/>
              <w:left w:sz="0" w:val="single" w:color="FFFFFF"/>
              <w:bottom w:sz="0" w:val="single" w:color="FFFFFF"/>
              <w:right w:sz="0" w:val="single" w:color="FFFFFF"/>
            </w:tcBorders>
            <w:shd w:fill="69AFAC"/>
            <w:vAlign w:val="center"/>
          </w:tcPr>
          <w:p>
            <w:pPr>
              <w:spacing w:before="60" w:after="60"/>
              <w:jc w:val="center"/>
            </w:pPr>
            <w:r>
              <w:rPr>
                <w:rFonts w:ascii="Arial" w:hAnsi="Arial" w:eastAsia="Arial"/>
                <w:b w:val="0"/>
                <w:color w:val="FFFFFF"/>
                <w:sz w:val="26"/>
              </w:rPr>
              <w:t>Campus Experience</w:t>
            </w:r>
          </w:p>
        </w:tc>
        <w:tc>
          <w:tcPr>
            <w:tcW w:type="dxa" w:w="7541"/>
            <w:tcBorders>
              <w:top w:sz="0" w:val="single" w:color="FFFFFF"/>
              <w:left w:sz="0" w:val="single" w:color="FFFFFF"/>
              <w:bottom w:sz="18" w:val="single" w:color="69AFAC"/>
              <w:right w:sz="0" w:val="single" w:color="FFFFFF"/>
            </w:tcBorders>
          </w:tcPr>
          <w:p/>
        </w:tc>
      </w:tr>
    </w:tbl>
    <w:tbl>
      <w:tblPr>
        <w:tblW w:type="auto" w:w="0"/>
        <w:tblLayout w:type="fixed"/>
        <w:tblLook w:firstColumn="1" w:firstRow="1" w:lastColumn="0" w:lastRow="0" w:noHBand="0" w:noVBand="1" w:val="04A0"/>
      </w:tblPr>
      <w:tblGrid>
        <w:gridCol w:w="5188"/>
        <w:gridCol w:w="5188"/>
      </w:tblGrid>
      <w:tr>
        <w:tc>
          <w:tcPr>
            <w:tcW w:type="dxa" w:w="3969"/>
            <w:tcBorders>
              <w:top w:sz="0" w:val="single" w:color="FFFFFF"/>
              <w:left w:sz="0" w:val="single" w:color="FFFFFF"/>
              <w:bottom w:sz="0" w:val="single" w:color="FFFFFF"/>
              <w:right w:sz="0" w:val="single" w:color="FFFFFF"/>
            </w:tcBorders>
          </w:tcPr>
          <w:p>
            <w:pPr>
              <w:spacing w:before="0" w:after="0" w:line="252" w:lineRule="auto"/>
            </w:pPr>
            <w:r>
              <w:rPr>
                <w:rFonts w:ascii="Arial" w:hAnsi="Arial" w:eastAsia="Arial"/>
                <w:b/>
                <w:color w:val="000000"/>
                <w:sz w:val="20"/>
              </w:rPr>
              <w:t>2025.10-2026.7</w:t>
            </w:r>
          </w:p>
        </w:tc>
        <w:tc>
          <w:tcPr>
            <w:tcW w:type="dxa" w:w="6123"/>
            <w:tcBorders>
              <w:top w:sz="0" w:val="single" w:color="FFFFFF"/>
              <w:left w:sz="0" w:val="single" w:color="FFFFFF"/>
              <w:bottom w:sz="0" w:val="single" w:color="FFFFFF"/>
              <w:right w:sz="0" w:val="single" w:color="FFFFFF"/>
            </w:tcBorders>
          </w:tcPr>
          <w:p>
            <w:pPr>
              <w:spacing w:after="0"/>
              <w:jc w:val="right"/>
            </w:pPr>
            <w:r>
              <w:rPr>
                <w:rFonts w:ascii="Arial" w:hAnsi="Arial" w:eastAsia="Arial"/>
                <w:b/>
                <w:color w:val="000000"/>
                <w:sz w:val="20"/>
              </w:rPr>
              <w:t>MPA Student Office Assistant</w:t>
            </w:r>
          </w:p>
        </w:tc>
      </w:tr>
    </w:tbl>
    <w:p>
      <w:pPr>
        <w:spacing w:before="0" w:after="20" w:line="252" w:lineRule="auto"/>
      </w:pPr>
      <w:r>
        <w:rPr>
          <w:rFonts w:ascii="Arial" w:hAnsi="Arial" w:eastAsia="Arial"/>
          <w:b w:val="0"/>
          <w:color w:val="666666"/>
          <w:sz w:val="17"/>
        </w:rPr>
        <w:t>Managed teaching materials for 200+ MPA students and archived 500+ examination papers.</w:t>
      </w:r>
    </w:p>
    <w:p>
      <w:pPr>
        <w:spacing w:before="0" w:after="20" w:line="252" w:lineRule="auto"/>
      </w:pPr>
      <w:r>
        <w:rPr>
          <w:rFonts w:ascii="Arial" w:hAnsi="Arial" w:eastAsia="Arial"/>
          <w:b w:val="0"/>
          <w:color w:val="666666"/>
          <w:sz w:val="17"/>
        </w:rPr>
        <w:t>Supported coordination of MPA admission interview volunteer activities, helping ensure smooth interview participation for 200+ candidates.</w:t>
      </w:r>
    </w:p>
    <w:tbl>
      <w:tblPr>
        <w:tblW w:type="auto" w:w="0"/>
        <w:tblLayout w:type="fixed"/>
        <w:tblLook w:firstColumn="1" w:firstRow="1" w:lastColumn="0" w:lastRow="0" w:noHBand="0" w:noVBand="1" w:val="04A0"/>
      </w:tblPr>
      <w:tblGrid>
        <w:gridCol w:w="5188"/>
        <w:gridCol w:w="5188"/>
      </w:tblGrid>
      <w:tr>
        <w:tc>
          <w:tcPr>
            <w:tcW w:type="dxa" w:w="2551"/>
            <w:tcBorders>
              <w:top w:sz="0" w:val="single" w:color="FFFFFF"/>
              <w:left w:sz="0" w:val="single" w:color="FFFFFF"/>
              <w:bottom w:sz="0" w:val="single" w:color="FFFFFF"/>
              <w:right w:sz="0" w:val="single" w:color="FFFFFF"/>
            </w:tcBorders>
            <w:shd w:fill="69AFAC"/>
            <w:vAlign w:val="center"/>
          </w:tcPr>
          <w:p>
            <w:pPr>
              <w:spacing w:before="60" w:after="60"/>
              <w:jc w:val="center"/>
            </w:pPr>
            <w:r>
              <w:rPr>
                <w:rFonts w:ascii="Arial" w:hAnsi="Arial" w:eastAsia="Arial"/>
                <w:b w:val="0"/>
                <w:color w:val="FFFFFF"/>
                <w:sz w:val="26"/>
              </w:rPr>
              <w:t>Relevant Skills</w:t>
            </w:r>
          </w:p>
        </w:tc>
        <w:tc>
          <w:tcPr>
            <w:tcW w:type="dxa" w:w="7541"/>
            <w:tcBorders>
              <w:top w:sz="0" w:val="single" w:color="FFFFFF"/>
              <w:left w:sz="0" w:val="single" w:color="FFFFFF"/>
              <w:bottom w:sz="18" w:val="single" w:color="69AFAC"/>
              <w:right w:sz="0" w:val="single" w:color="FFFFFF"/>
            </w:tcBorders>
          </w:tcPr>
          <w:p/>
        </w:tc>
      </w:tr>
    </w:tbl>
    <w:p>
      <w:pPr>
        <w:spacing w:before="0" w:after="0" w:line="252" w:lineRule="auto"/>
      </w:pPr>
      <w:r>
        <w:rPr>
          <w:rFonts w:ascii="Arial" w:hAnsi="Arial" w:eastAsia="Arial"/>
          <w:b w:val="0"/>
          <w:color w:val="666666"/>
          <w:sz w:val="17"/>
        </w:rPr>
        <w:t>1. Programming and databases: Python, Java, MySQL, PostgreSQL.</w:t>
      </w:r>
    </w:p>
    <w:p>
      <w:pPr>
        <w:spacing w:before="0" w:after="0" w:line="252" w:lineRule="auto"/>
      </w:pPr>
      <w:r>
        <w:rPr>
          <w:rFonts w:ascii="Arial" w:hAnsi="Arial" w:eastAsia="Arial"/>
          <w:b w:val="0"/>
          <w:color w:val="666666"/>
          <w:sz w:val="17"/>
        </w:rPr>
        <w:t>2. AI tools and concepts: LLM, RAG, Agent, Prompt Engineering; hands-on experience with Coze, LangChain, and Codex.</w:t>
      </w:r>
    </w:p>
    <w:p>
      <w:pPr>
        <w:spacing w:before="0" w:after="0" w:line="252" w:lineRule="auto"/>
      </w:pPr>
      <w:r>
        <w:rPr>
          <w:rFonts w:ascii="Arial" w:hAnsi="Arial" w:eastAsia="Arial"/>
          <w:b w:val="0"/>
          <w:color w:val="666666"/>
          <w:sz w:val="17"/>
        </w:rPr>
        <w:t>3. Research and productivity tools: Word, Excel, PowerPoint, Tableau; able to structure data, documents, and presentations for research delivery.</w:t>
      </w:r>
    </w:p>
    <w:p>
      <w:pPr>
        <w:spacing w:before="0" w:after="0" w:line="252" w:lineRule="auto"/>
      </w:pPr>
      <w:r>
        <w:rPr>
          <w:rFonts w:ascii="Arial" w:hAnsi="Arial" w:eastAsia="Arial"/>
          <w:b w:val="0"/>
          <w:color w:val="666666"/>
          <w:sz w:val="17"/>
        </w:rPr>
        <w:t>4. Language and certificates: CET-6; C2 driving license.</w:t>
      </w:r>
    </w:p>
    <w:sectPr w:rsidR="00FC693F" w:rsidRPr="0006063C" w:rsidSect="00034616">
      <w:pgSz w:w="11906" w:h="16838"/>
      <w:pgMar w:top="822" w:right="765" w:bottom="680"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